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9"/>
        <w:gridCol w:w="1830"/>
      </w:tblGrid>
      <w:tr w14:paraId="224F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9" w:type="dxa"/>
            <w:tcBorders>
              <w:tl2br w:val="nil"/>
              <w:tr2bl w:val="nil"/>
            </w:tcBorders>
            <w:vAlign w:val="top"/>
          </w:tcPr>
          <w:p w14:paraId="31538EFE">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CALL FOR PAPERS </w:t>
            </w:r>
          </w:p>
          <w:p w14:paraId="32EFE450">
            <w:pP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rPr>
              <w:t>IEEE Geoscience and Remote Sensing Magazine</w:t>
            </w:r>
          </w:p>
        </w:tc>
        <w:tc>
          <w:tcPr>
            <w:tcW w:w="1830" w:type="dxa"/>
            <w:tcBorders>
              <w:tl2br w:val="nil"/>
              <w:tr2bl w:val="nil"/>
            </w:tcBorders>
            <w:vAlign w:val="top"/>
          </w:tcPr>
          <w:p w14:paraId="6A05AAE9">
            <w:pPr>
              <w:jc w:val="right"/>
              <w:rPr>
                <w:rFonts w:hint="default" w:ascii="Times New Roman" w:hAnsi="Times New Roman" w:eastAsia="宋体" w:cs="Times New Roman"/>
                <w:sz w:val="24"/>
                <w:szCs w:val="24"/>
                <w:vertAlign w:val="baseline"/>
              </w:rPr>
            </w:pPr>
            <w:r>
              <w:rPr>
                <w:rFonts w:ascii="宋体" w:hAnsi="宋体" w:eastAsia="宋体" w:cs="宋体"/>
                <w:sz w:val="24"/>
                <w:szCs w:val="24"/>
              </w:rPr>
              <w:drawing>
                <wp:inline distT="0" distB="0" distL="114300" distR="114300">
                  <wp:extent cx="785495" cy="509905"/>
                  <wp:effectExtent l="0" t="0" r="1905"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785495" cy="509905"/>
                          </a:xfrm>
                          <a:prstGeom prst="rect">
                            <a:avLst/>
                          </a:prstGeom>
                          <a:noFill/>
                          <a:ln w="9525">
                            <a:noFill/>
                          </a:ln>
                        </pic:spPr>
                      </pic:pic>
                    </a:graphicData>
                  </a:graphic>
                </wp:inline>
              </w:drawing>
            </w:r>
          </w:p>
        </w:tc>
      </w:tr>
    </w:tbl>
    <w:p w14:paraId="2E5E9792">
      <w:pPr>
        <w:jc w:val="both"/>
        <w:rPr>
          <w:rFonts w:hint="default" w:ascii="Times New Roman" w:hAnsi="Times New Roman" w:eastAsia="宋体" w:cs="Times New Roman"/>
          <w:b/>
          <w:bCs/>
          <w:sz w:val="40"/>
          <w:szCs w:val="40"/>
          <w:lang w:val="en-US" w:eastAsia="zh-CN"/>
        </w:rPr>
      </w:pPr>
      <w:r>
        <w:rPr>
          <w:rFonts w:hint="eastAsia" w:ascii="Times New Roman" w:hAnsi="Times New Roman" w:eastAsia="宋体" w:cs="Times New Roman"/>
          <w:b/>
          <w:bCs/>
          <w:sz w:val="40"/>
          <w:szCs w:val="40"/>
          <w:lang w:val="en-US" w:eastAsia="zh-CN"/>
        </w:rPr>
        <w:t xml:space="preserve">Special issue on </w:t>
      </w:r>
      <w:r>
        <w:rPr>
          <w:rFonts w:hint="default" w:ascii="Times New Roman" w:hAnsi="Times New Roman" w:eastAsia="宋体" w:cs="Times New Roman"/>
          <w:b/>
          <w:bCs/>
          <w:sz w:val="40"/>
          <w:szCs w:val="40"/>
          <w:lang w:val="en-US" w:eastAsia="zh-CN"/>
        </w:rPr>
        <w:t>“</w:t>
      </w:r>
      <w:r>
        <w:rPr>
          <w:rFonts w:hint="eastAsia" w:ascii="Times New Roman" w:hAnsi="Times New Roman" w:eastAsia="宋体" w:cs="Times New Roman"/>
          <w:b/>
          <w:bCs/>
          <w:sz w:val="40"/>
          <w:szCs w:val="40"/>
        </w:rPr>
        <w:t>UAV</w:t>
      </w:r>
      <w:r>
        <w:rPr>
          <w:rFonts w:hint="eastAsia" w:ascii="Times New Roman" w:hAnsi="Times New Roman" w:eastAsia="宋体" w:cs="Times New Roman"/>
          <w:b/>
          <w:bCs/>
          <w:sz w:val="40"/>
          <w:szCs w:val="40"/>
          <w:lang w:val="en-US" w:eastAsia="zh-CN"/>
        </w:rPr>
        <w:t xml:space="preserve"> </w:t>
      </w:r>
      <w:r>
        <w:rPr>
          <w:rFonts w:hint="eastAsia" w:ascii="Times New Roman" w:hAnsi="Times New Roman" w:eastAsia="宋体" w:cs="Times New Roman"/>
          <w:b/>
          <w:bCs/>
          <w:sz w:val="40"/>
          <w:szCs w:val="40"/>
        </w:rPr>
        <w:t>remote sensing</w:t>
      </w:r>
      <w:r>
        <w:rPr>
          <w:rFonts w:hint="default" w:ascii="Times New Roman" w:hAnsi="Times New Roman" w:eastAsia="宋体" w:cs="Times New Roman"/>
          <w:b/>
          <w:bCs/>
          <w:sz w:val="40"/>
          <w:szCs w:val="40"/>
          <w:lang w:val="en-US" w:eastAsia="zh-CN"/>
        </w:rPr>
        <w:t>”</w:t>
      </w:r>
    </w:p>
    <w:p w14:paraId="1CAF732E">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Guest editor</w:t>
      </w:r>
      <w:r>
        <w:rPr>
          <w:rFonts w:hint="eastAsia" w:ascii="Times New Roman" w:hAnsi="Times New Roman" w:eastAsia="宋体" w:cs="Times New Roman"/>
          <w:b/>
          <w:bCs/>
          <w:sz w:val="24"/>
          <w:szCs w:val="24"/>
          <w:lang w:val="en-US" w:eastAsia="zh-CN"/>
        </w:rPr>
        <w:t>s</w:t>
      </w:r>
      <w:bookmarkStart w:id="0" w:name="_GoBack"/>
      <w:bookmarkEnd w:id="0"/>
      <w:r>
        <w:rPr>
          <w:rFonts w:hint="default" w:ascii="Times New Roman" w:hAnsi="Times New Roman" w:eastAsia="宋体" w:cs="Times New Roman"/>
          <w:b/>
          <w:bCs/>
          <w:sz w:val="24"/>
          <w:szCs w:val="24"/>
        </w:rPr>
        <w:t xml:space="preserve"> </w:t>
      </w:r>
    </w:p>
    <w:p w14:paraId="77C0FBD7">
      <w:pPr>
        <w:pStyle w:val="10"/>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Roman" w:hAnsi="Times-Roman" w:eastAsia="Times-Roman" w:cs="Times-Roman"/>
          <w:color w:val="231F20"/>
          <w:kern w:val="0"/>
          <w:sz w:val="23"/>
          <w:szCs w:val="23"/>
          <w:lang w:val="en-US" w:eastAsia="zh-CN" w:bidi="ar"/>
        </w:rPr>
      </w:pPr>
      <w:r>
        <w:rPr>
          <w:rFonts w:hint="eastAsia" w:ascii="Times-Roman" w:hAnsi="Times-Roman" w:eastAsia="Times-Roman" w:cs="Times-Roman"/>
          <w:b w:val="0"/>
          <w:bCs w:val="0"/>
          <w:color w:val="231F20"/>
          <w:kern w:val="0"/>
          <w:sz w:val="23"/>
          <w:szCs w:val="23"/>
          <w:lang w:val="en-US" w:eastAsia="zh-CN" w:bidi="ar"/>
        </w:rPr>
        <w:t>Prof. Congzheng Han,</w:t>
      </w:r>
      <w:r>
        <w:rPr>
          <w:rFonts w:hint="eastAsia" w:ascii="Times-Roman" w:hAnsi="Times-Roman" w:eastAsia="Times-Roman" w:cs="Times-Roman"/>
          <w:b/>
          <w:bCs/>
          <w:color w:val="231F20"/>
          <w:kern w:val="0"/>
          <w:sz w:val="23"/>
          <w:szCs w:val="23"/>
          <w:lang w:val="en-US" w:eastAsia="zh-CN" w:bidi="ar"/>
        </w:rPr>
        <w:t xml:space="preserve"> </w:t>
      </w:r>
      <w:r>
        <w:rPr>
          <w:rFonts w:hint="default" w:ascii="Times-Roman" w:hAnsi="Times-Roman" w:eastAsia="Times-Roman" w:cs="Times-Roman"/>
          <w:color w:val="231F20"/>
          <w:kern w:val="0"/>
          <w:sz w:val="23"/>
          <w:szCs w:val="23"/>
          <w:lang w:val="en-US" w:eastAsia="zh-CN" w:bidi="ar"/>
        </w:rPr>
        <w:t xml:space="preserve">Institute of Atmospheric Physics, </w:t>
      </w:r>
      <w:r>
        <w:rPr>
          <w:rFonts w:hint="eastAsia" w:ascii="Times-Roman" w:hAnsi="Times-Roman" w:eastAsia="Times-Roman" w:cs="Times-Roman"/>
          <w:color w:val="231F20"/>
          <w:kern w:val="0"/>
          <w:sz w:val="23"/>
          <w:szCs w:val="23"/>
          <w:lang w:val="en-US" w:eastAsia="zh-CN" w:bidi="ar"/>
        </w:rPr>
        <w:t>CAS (c.han@mail.iap.ac.cn)</w:t>
      </w:r>
    </w:p>
    <w:p w14:paraId="102C34A7">
      <w:pPr>
        <w:pStyle w:val="10"/>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Roman" w:hAnsi="Times-Roman" w:eastAsia="Times-Roman" w:cs="Times-Roman"/>
          <w:color w:val="231F20"/>
          <w:kern w:val="0"/>
          <w:sz w:val="23"/>
          <w:szCs w:val="23"/>
          <w:lang w:val="en-US" w:eastAsia="zh-CN" w:bidi="ar"/>
        </w:rPr>
      </w:pPr>
      <w:r>
        <w:rPr>
          <w:rFonts w:hint="eastAsia" w:ascii="Times-Roman" w:hAnsi="Times-Roman" w:eastAsia="Times-Roman" w:cs="Times-Roman"/>
          <w:color w:val="231F20"/>
          <w:kern w:val="0"/>
          <w:sz w:val="23"/>
          <w:szCs w:val="23"/>
          <w:lang w:val="en-US" w:eastAsia="zh-CN" w:bidi="ar"/>
        </w:rPr>
        <w:t>Prof. Qinghua Guo, Peking University (guo.qinghua@pku.edu.cn)</w:t>
      </w:r>
    </w:p>
    <w:p w14:paraId="67E0F725">
      <w:pPr>
        <w:pStyle w:val="10"/>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Roman" w:hAnsi="Times-Roman" w:eastAsia="Times-Roman" w:cs="Times-Roman"/>
          <w:color w:val="231F20"/>
          <w:kern w:val="0"/>
          <w:sz w:val="23"/>
          <w:szCs w:val="23"/>
          <w:lang w:val="en-US" w:eastAsia="zh-CN" w:bidi="ar"/>
        </w:rPr>
      </w:pPr>
      <w:r>
        <w:rPr>
          <w:rFonts w:hint="eastAsia" w:ascii="Times-Roman" w:hAnsi="Times-Roman" w:eastAsia="Times-Roman" w:cs="Times-Roman"/>
          <w:color w:val="231F20"/>
          <w:kern w:val="0"/>
          <w:sz w:val="23"/>
          <w:szCs w:val="23"/>
          <w:lang w:val="en-US" w:eastAsia="zh-CN" w:bidi="ar"/>
        </w:rPr>
        <w:t xml:space="preserve">Prof. Hongbin Chen, </w:t>
      </w:r>
      <w:r>
        <w:rPr>
          <w:rFonts w:hint="default" w:ascii="Times-Roman" w:hAnsi="Times-Roman" w:eastAsia="Times-Roman" w:cs="Times-Roman"/>
          <w:color w:val="231F20"/>
          <w:kern w:val="0"/>
          <w:sz w:val="23"/>
          <w:szCs w:val="23"/>
          <w:lang w:val="en-US" w:eastAsia="zh-CN" w:bidi="ar"/>
        </w:rPr>
        <w:t xml:space="preserve">Institute of Atmospheric Physics, </w:t>
      </w:r>
      <w:r>
        <w:rPr>
          <w:rFonts w:hint="eastAsia" w:ascii="Times-Roman" w:hAnsi="Times-Roman" w:eastAsia="Times-Roman" w:cs="Times-Roman"/>
          <w:color w:val="231F20"/>
          <w:kern w:val="0"/>
          <w:sz w:val="23"/>
          <w:szCs w:val="23"/>
          <w:lang w:val="en-US" w:eastAsia="zh-CN" w:bidi="ar"/>
        </w:rPr>
        <w:t>CAS (chb@mail.iap.ac.cn)</w:t>
      </w:r>
    </w:p>
    <w:p w14:paraId="712FB935">
      <w:pPr>
        <w:pStyle w:val="10"/>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Roman" w:hAnsi="Times-Roman" w:eastAsia="Times-Roman" w:cs="Times-Roman"/>
          <w:color w:val="231F20"/>
          <w:kern w:val="0"/>
          <w:sz w:val="23"/>
          <w:szCs w:val="23"/>
          <w:lang w:val="en-US" w:eastAsia="zh-CN" w:bidi="ar"/>
        </w:rPr>
      </w:pPr>
      <w:r>
        <w:rPr>
          <w:rFonts w:hint="eastAsia" w:ascii="Times-Roman" w:hAnsi="Times-Roman" w:eastAsia="Times-Roman" w:cs="Times-Roman"/>
          <w:color w:val="231F20"/>
          <w:kern w:val="0"/>
          <w:sz w:val="23"/>
          <w:szCs w:val="23"/>
          <w:lang w:val="en-US" w:eastAsia="zh-CN" w:bidi="ar"/>
        </w:rPr>
        <w:t>Prof. Hanwen Yu, Univ. of Electronic Science and Technology of China (yuhanwenxd@gmail.com)</w:t>
      </w:r>
    </w:p>
    <w:p w14:paraId="0A4D5F9D">
      <w:pPr>
        <w:rPr>
          <w:rFonts w:hint="default" w:ascii="Times New Roman" w:hAnsi="Times New Roman" w:eastAsia="宋体" w:cs="Times New Roman"/>
          <w:sz w:val="24"/>
          <w:szCs w:val="24"/>
          <w:lang w:val="en-US" w:eastAsia="zh-CN"/>
        </w:rPr>
      </w:pPr>
    </w:p>
    <w:p w14:paraId="18C64CFE">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Recent advancements in UAV technology have revolutionized remote sensing</w:t>
      </w:r>
      <w:r>
        <w:rPr>
          <w:rFonts w:hint="eastAsia" w:ascii="Times New Roman" w:hAnsi="Times New Roman" w:eastAsia="宋体" w:cs="Times New Roman"/>
          <w:sz w:val="24"/>
          <w:szCs w:val="24"/>
          <w:lang w:val="en-US" w:eastAsia="zh-CN"/>
        </w:rPr>
        <w:t xml:space="preserve"> research</w:t>
      </w:r>
      <w:r>
        <w:rPr>
          <w:rFonts w:hint="default" w:ascii="Times New Roman" w:hAnsi="Times New Roman" w:eastAsia="宋体" w:cs="Times New Roman"/>
          <w:sz w:val="24"/>
          <w:szCs w:val="24"/>
          <w:lang w:val="en-US" w:eastAsia="zh-CN"/>
        </w:rPr>
        <w:t xml:space="preserve"> by </w:t>
      </w:r>
      <w:r>
        <w:rPr>
          <w:rFonts w:hint="eastAsia" w:ascii="Times New Roman" w:hAnsi="Times New Roman" w:eastAsia="宋体" w:cs="Times New Roman"/>
          <w:sz w:val="24"/>
          <w:szCs w:val="24"/>
          <w:lang w:val="en-US" w:eastAsia="zh-CN"/>
        </w:rPr>
        <w:t xml:space="preserve">providing a cost-effective solution for high-frequency, high-resolution, and on-demand data collection. UAVs are widely used in various remote sensing missions such as surveillance, environmental monitoring, wildlife conservation, ecology research, urban planning, precision agriculture, atmospheric research, marine research, search and rescue, and disaster management. The integration of UAVs with advanced technologies such as artificial intelligence, information geography, and big data analytics has further enhanced the efficiency and accuracy of data processing and interpretation, leading to more informed decision-making. This special issue aims to highlight the latest advancements of UAV technology in remote sensing tasks. </w:t>
      </w:r>
    </w:p>
    <w:p w14:paraId="64635AC9">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Times New Roman" w:hAnsi="Times New Roman" w:eastAsia="宋体" w:cs="Times New Roman"/>
          <w:sz w:val="24"/>
          <w:szCs w:val="24"/>
          <w:lang w:val="en-US" w:eastAsia="zh-CN"/>
        </w:rPr>
      </w:pPr>
    </w:p>
    <w:p w14:paraId="52DB5F89">
      <w:pPr>
        <w:keepNext w:val="0"/>
        <w:keepLines w:val="0"/>
        <w:pageBreakBefore w:val="0"/>
        <w:widowControl w:val="0"/>
        <w:kinsoku/>
        <w:wordWrap/>
        <w:overflowPunct/>
        <w:topLinePunct w:val="0"/>
        <w:autoSpaceDE/>
        <w:autoSpaceDN/>
        <w:bidi w:val="0"/>
        <w:adjustRightInd/>
        <w:snapToGrid/>
        <w:spacing w:line="230" w:lineRule="exac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This special issue accepts papers on the following topics (but are not limited to):</w:t>
      </w:r>
    </w:p>
    <w:p w14:paraId="1BA9F643">
      <w:pPr>
        <w:keepNext w:val="0"/>
        <w:keepLines w:val="0"/>
        <w:pageBreakBefore w:val="0"/>
        <w:widowControl w:val="0"/>
        <w:numPr>
          <w:ilvl w:val="0"/>
          <w:numId w:val="1"/>
        </w:numPr>
        <w:kinsoku/>
        <w:wordWrap/>
        <w:overflowPunct/>
        <w:topLinePunct w:val="0"/>
        <w:autoSpaceDE/>
        <w:autoSpaceDN/>
        <w:bidi w:val="0"/>
        <w:adjustRightInd/>
        <w:snapToGrid/>
        <w:spacing w:line="230" w:lineRule="exact"/>
        <w:ind w:left="420" w:leftChars="0" w:hanging="420" w:firstLine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UAV </w:t>
      </w:r>
      <w:r>
        <w:rPr>
          <w:rFonts w:hint="eastAsia" w:ascii="Times New Roman" w:hAnsi="Times New Roman" w:eastAsia="宋体" w:cs="Times New Roman"/>
          <w:sz w:val="24"/>
          <w:szCs w:val="24"/>
          <w:lang w:val="en-US" w:eastAsia="zh-CN"/>
        </w:rPr>
        <w:t>r</w:t>
      </w:r>
      <w:r>
        <w:rPr>
          <w:rFonts w:hint="eastAsia" w:ascii="Times New Roman" w:hAnsi="Times New Roman" w:eastAsia="宋体" w:cs="Times New Roman"/>
          <w:sz w:val="24"/>
          <w:szCs w:val="24"/>
        </w:rPr>
        <w:t xml:space="preserve">emote </w:t>
      </w:r>
      <w:r>
        <w:rPr>
          <w:rFonts w:hint="eastAsia" w:ascii="Times New Roman" w:hAnsi="Times New Roman" w:eastAsia="宋体" w:cs="Times New Roman"/>
          <w:sz w:val="24"/>
          <w:szCs w:val="24"/>
          <w:lang w:val="en-US" w:eastAsia="zh-CN"/>
        </w:rPr>
        <w:t>s</w:t>
      </w:r>
      <w:r>
        <w:rPr>
          <w:rFonts w:hint="eastAsia" w:ascii="Times New Roman" w:hAnsi="Times New Roman" w:eastAsia="宋体" w:cs="Times New Roman"/>
          <w:sz w:val="24"/>
          <w:szCs w:val="24"/>
        </w:rPr>
        <w:t xml:space="preserve">ensing </w:t>
      </w:r>
      <w:r>
        <w:rPr>
          <w:rFonts w:hint="eastAsia" w:ascii="Times New Roman" w:hAnsi="Times New Roman" w:eastAsia="宋体" w:cs="Times New Roman"/>
          <w:sz w:val="24"/>
          <w:szCs w:val="24"/>
          <w:lang w:val="en-US" w:eastAsia="zh-CN"/>
        </w:rPr>
        <w:t>d</w:t>
      </w:r>
      <w:r>
        <w:rPr>
          <w:rFonts w:hint="eastAsia" w:ascii="Times New Roman" w:hAnsi="Times New Roman" w:eastAsia="宋体" w:cs="Times New Roman"/>
          <w:sz w:val="24"/>
          <w:szCs w:val="24"/>
        </w:rPr>
        <w:t xml:space="preserve">ata </w:t>
      </w:r>
      <w:r>
        <w:rPr>
          <w:rFonts w:hint="eastAsia" w:ascii="Times New Roman" w:hAnsi="Times New Roman" w:eastAsia="宋体" w:cs="Times New Roman"/>
          <w:sz w:val="24"/>
          <w:szCs w:val="24"/>
          <w:lang w:val="en-US" w:eastAsia="zh-CN"/>
        </w:rPr>
        <w:t>p</w:t>
      </w:r>
      <w:r>
        <w:rPr>
          <w:rFonts w:hint="eastAsia" w:ascii="Times New Roman" w:hAnsi="Times New Roman" w:eastAsia="宋体" w:cs="Times New Roman"/>
          <w:sz w:val="24"/>
          <w:szCs w:val="24"/>
        </w:rPr>
        <w:t xml:space="preserve">rocessing and </w:t>
      </w:r>
      <w:r>
        <w:rPr>
          <w:rFonts w:hint="eastAsia" w:ascii="Times New Roman" w:hAnsi="Times New Roman" w:eastAsia="宋体" w:cs="Times New Roman"/>
          <w:sz w:val="24"/>
          <w:szCs w:val="24"/>
          <w:lang w:val="en-US" w:eastAsia="zh-CN"/>
        </w:rPr>
        <w:t>e</w:t>
      </w:r>
      <w:r>
        <w:rPr>
          <w:rFonts w:hint="eastAsia" w:ascii="Times New Roman" w:hAnsi="Times New Roman" w:eastAsia="宋体" w:cs="Times New Roman"/>
          <w:sz w:val="24"/>
          <w:szCs w:val="24"/>
        </w:rPr>
        <w:t>nhancement</w:t>
      </w:r>
      <w:r>
        <w:rPr>
          <w:rFonts w:hint="eastAsia" w:ascii="Times New Roman" w:hAnsi="Times New Roman" w:eastAsia="宋体" w:cs="Times New Roman"/>
          <w:sz w:val="24"/>
          <w:szCs w:val="24"/>
          <w:lang w:val="en-US" w:eastAsia="zh-CN"/>
        </w:rPr>
        <w:t xml:space="preserve">, including </w:t>
      </w:r>
      <w:r>
        <w:rPr>
          <w:rFonts w:hint="eastAsia" w:ascii="Times New Roman" w:hAnsi="Times New Roman" w:eastAsia="宋体" w:cs="Times New Roman"/>
          <w:sz w:val="24"/>
          <w:szCs w:val="24"/>
        </w:rPr>
        <w:t xml:space="preserve">image fusion, noise reduction, shadow removal, </w:t>
      </w:r>
      <w:r>
        <w:rPr>
          <w:rFonts w:hint="eastAsia" w:ascii="Times New Roman" w:hAnsi="Times New Roman" w:eastAsia="宋体" w:cs="Times New Roman"/>
          <w:sz w:val="24"/>
          <w:szCs w:val="24"/>
          <w:lang w:val="en-US" w:eastAsia="zh-CN"/>
        </w:rPr>
        <w:t xml:space="preserve">and </w:t>
      </w:r>
      <w:r>
        <w:rPr>
          <w:rFonts w:hint="eastAsia" w:ascii="Times New Roman" w:hAnsi="Times New Roman" w:eastAsia="宋体" w:cs="Times New Roman"/>
          <w:sz w:val="24"/>
          <w:szCs w:val="24"/>
        </w:rPr>
        <w:t>defect repair</w:t>
      </w:r>
    </w:p>
    <w:p w14:paraId="72924722">
      <w:pPr>
        <w:keepNext w:val="0"/>
        <w:keepLines w:val="0"/>
        <w:pageBreakBefore w:val="0"/>
        <w:widowControl w:val="0"/>
        <w:numPr>
          <w:ilvl w:val="0"/>
          <w:numId w:val="1"/>
        </w:numPr>
        <w:kinsoku/>
        <w:wordWrap/>
        <w:overflowPunct/>
        <w:topLinePunct w:val="0"/>
        <w:autoSpaceDE/>
        <w:autoSpaceDN/>
        <w:bidi w:val="0"/>
        <w:adjustRightInd/>
        <w:snapToGrid/>
        <w:spacing w:line="230" w:lineRule="exact"/>
        <w:ind w:left="420" w:leftChars="0" w:hanging="420" w:firstLine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Object detection, classification, and semantic analysis </w:t>
      </w:r>
      <w:r>
        <w:rPr>
          <w:rFonts w:hint="eastAsia" w:ascii="Times New Roman" w:hAnsi="Times New Roman" w:eastAsia="宋体" w:cs="Times New Roman"/>
          <w:sz w:val="24"/>
          <w:szCs w:val="24"/>
          <w:lang w:val="en-US" w:eastAsia="zh-CN"/>
        </w:rPr>
        <w:t xml:space="preserve">from </w:t>
      </w:r>
      <w:r>
        <w:rPr>
          <w:rFonts w:hint="eastAsia" w:ascii="Times New Roman" w:hAnsi="Times New Roman" w:eastAsia="宋体" w:cs="Times New Roman"/>
          <w:sz w:val="24"/>
          <w:szCs w:val="24"/>
        </w:rPr>
        <w:t>UAV</w:t>
      </w:r>
      <w:r>
        <w:rPr>
          <w:rFonts w:hint="eastAsia" w:ascii="Times New Roman" w:hAnsi="Times New Roman" w:eastAsia="宋体" w:cs="Times New Roman"/>
          <w:sz w:val="24"/>
          <w:szCs w:val="24"/>
          <w:lang w:val="en-US" w:eastAsia="zh-CN"/>
        </w:rPr>
        <w:t>-acquired imagery</w:t>
      </w:r>
    </w:p>
    <w:p w14:paraId="49163AE8">
      <w:pPr>
        <w:keepNext w:val="0"/>
        <w:keepLines w:val="0"/>
        <w:pageBreakBefore w:val="0"/>
        <w:widowControl w:val="0"/>
        <w:numPr>
          <w:ilvl w:val="0"/>
          <w:numId w:val="1"/>
        </w:numPr>
        <w:kinsoku/>
        <w:wordWrap/>
        <w:overflowPunct/>
        <w:topLinePunct w:val="0"/>
        <w:autoSpaceDE/>
        <w:autoSpaceDN/>
        <w:bidi w:val="0"/>
        <w:adjustRightInd/>
        <w:snapToGrid/>
        <w:spacing w:line="230" w:lineRule="exact"/>
        <w:ind w:left="420" w:leftChars="0" w:hanging="420" w:firstLine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3D target reconstruction using UAV remote sensing </w:t>
      </w:r>
      <w:r>
        <w:rPr>
          <w:rFonts w:hint="eastAsia" w:ascii="Times New Roman" w:hAnsi="Times New Roman" w:eastAsia="宋体" w:cs="Times New Roman"/>
          <w:sz w:val="24"/>
          <w:szCs w:val="24"/>
          <w:lang w:val="en-US" w:eastAsia="zh-CN"/>
        </w:rPr>
        <w:t>data</w:t>
      </w:r>
    </w:p>
    <w:p w14:paraId="6E24B342">
      <w:pPr>
        <w:keepNext w:val="0"/>
        <w:keepLines w:val="0"/>
        <w:pageBreakBefore w:val="0"/>
        <w:widowControl w:val="0"/>
        <w:numPr>
          <w:ilvl w:val="0"/>
          <w:numId w:val="1"/>
        </w:numPr>
        <w:kinsoku/>
        <w:wordWrap/>
        <w:overflowPunct/>
        <w:topLinePunct w:val="0"/>
        <w:autoSpaceDE/>
        <w:autoSpaceDN/>
        <w:bidi w:val="0"/>
        <w:adjustRightInd/>
        <w:snapToGrid/>
        <w:spacing w:line="230" w:lineRule="exact"/>
        <w:ind w:left="420" w:leftChars="0" w:hanging="420" w:firstLine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Quantitative inversion t</w:t>
      </w:r>
      <w:r>
        <w:rPr>
          <w:rFonts w:hint="eastAsia" w:ascii="Times New Roman" w:hAnsi="Times New Roman" w:eastAsia="宋体" w:cs="Times New Roman"/>
          <w:sz w:val="24"/>
          <w:szCs w:val="24"/>
        </w:rPr>
        <w:t xml:space="preserve">heories, </w:t>
      </w:r>
      <w:r>
        <w:rPr>
          <w:rFonts w:hint="eastAsia" w:ascii="Times New Roman" w:hAnsi="Times New Roman" w:eastAsia="宋体" w:cs="Times New Roman"/>
          <w:sz w:val="24"/>
          <w:szCs w:val="24"/>
          <w:lang w:val="en-US" w:eastAsia="zh-CN"/>
        </w:rPr>
        <w:t>m</w:t>
      </w:r>
      <w:r>
        <w:rPr>
          <w:rFonts w:hint="eastAsia" w:ascii="Times New Roman" w:hAnsi="Times New Roman" w:eastAsia="宋体" w:cs="Times New Roman"/>
          <w:sz w:val="24"/>
          <w:szCs w:val="24"/>
        </w:rPr>
        <w:t xml:space="preserve">ethods, and </w:t>
      </w:r>
      <w:r>
        <w:rPr>
          <w:rFonts w:hint="eastAsia" w:ascii="Times New Roman" w:hAnsi="Times New Roman" w:eastAsia="宋体" w:cs="Times New Roman"/>
          <w:sz w:val="24"/>
          <w:szCs w:val="24"/>
          <w:lang w:val="en-US" w:eastAsia="zh-CN"/>
        </w:rPr>
        <w:t>r</w:t>
      </w:r>
      <w:r>
        <w:rPr>
          <w:rFonts w:hint="eastAsia" w:ascii="Times New Roman" w:hAnsi="Times New Roman" w:eastAsia="宋体" w:cs="Times New Roman"/>
          <w:sz w:val="24"/>
          <w:szCs w:val="24"/>
        </w:rPr>
        <w:t xml:space="preserve">ecent </w:t>
      </w: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rPr>
        <w:t xml:space="preserve">dvances </w:t>
      </w:r>
      <w:r>
        <w:rPr>
          <w:rFonts w:hint="eastAsia" w:ascii="Times New Roman" w:hAnsi="Times New Roman" w:eastAsia="宋体" w:cs="Times New Roman"/>
          <w:sz w:val="24"/>
          <w:szCs w:val="24"/>
          <w:lang w:val="en-US" w:eastAsia="zh-CN"/>
        </w:rPr>
        <w:t>u</w:t>
      </w:r>
      <w:r>
        <w:rPr>
          <w:rFonts w:hint="eastAsia" w:ascii="Times New Roman" w:hAnsi="Times New Roman" w:eastAsia="宋体" w:cs="Times New Roman"/>
          <w:sz w:val="24"/>
          <w:szCs w:val="24"/>
        </w:rPr>
        <w:t xml:space="preserve">sing UAV </w:t>
      </w:r>
      <w:r>
        <w:rPr>
          <w:rFonts w:hint="eastAsia" w:ascii="Times New Roman" w:hAnsi="Times New Roman" w:eastAsia="宋体" w:cs="Times New Roman"/>
          <w:sz w:val="24"/>
          <w:szCs w:val="24"/>
          <w:lang w:val="en-US" w:eastAsia="zh-CN"/>
        </w:rPr>
        <w:t>d</w:t>
      </w:r>
      <w:r>
        <w:rPr>
          <w:rFonts w:hint="eastAsia" w:ascii="Times New Roman" w:hAnsi="Times New Roman" w:eastAsia="宋体" w:cs="Times New Roman"/>
          <w:sz w:val="24"/>
          <w:szCs w:val="24"/>
        </w:rPr>
        <w:t>at</w:t>
      </w:r>
      <w:r>
        <w:rPr>
          <w:rFonts w:hint="eastAsia" w:ascii="Times New Roman" w:hAnsi="Times New Roman" w:eastAsia="宋体" w:cs="Times New Roman"/>
          <w:sz w:val="24"/>
          <w:szCs w:val="24"/>
          <w:lang w:val="en-US" w:eastAsia="zh-CN"/>
        </w:rPr>
        <w:t>a</w:t>
      </w:r>
    </w:p>
    <w:p w14:paraId="5A07BF6E">
      <w:pPr>
        <w:keepNext w:val="0"/>
        <w:keepLines w:val="0"/>
        <w:pageBreakBefore w:val="0"/>
        <w:widowControl w:val="0"/>
        <w:numPr>
          <w:ilvl w:val="0"/>
          <w:numId w:val="1"/>
        </w:numPr>
        <w:kinsoku/>
        <w:wordWrap/>
        <w:overflowPunct/>
        <w:topLinePunct w:val="0"/>
        <w:autoSpaceDE/>
        <w:autoSpaceDN/>
        <w:bidi w:val="0"/>
        <w:adjustRightInd/>
        <w:snapToGrid/>
        <w:spacing w:line="230" w:lineRule="exact"/>
        <w:ind w:left="420" w:leftChars="0" w:hanging="420" w:firstLine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Advanced </w:t>
      </w:r>
      <w:r>
        <w:rPr>
          <w:rFonts w:hint="eastAsia" w:ascii="Times New Roman" w:hAnsi="Times New Roman" w:eastAsia="宋体" w:cs="Times New Roman"/>
          <w:sz w:val="24"/>
          <w:szCs w:val="24"/>
        </w:rPr>
        <w:t xml:space="preserve">sensors and monitoring </w:t>
      </w:r>
      <w:r>
        <w:rPr>
          <w:rFonts w:hint="eastAsia" w:ascii="Times New Roman" w:hAnsi="Times New Roman" w:eastAsia="宋体" w:cs="Times New Roman"/>
          <w:sz w:val="24"/>
          <w:szCs w:val="24"/>
          <w:lang w:val="en-US" w:eastAsia="zh-CN"/>
        </w:rPr>
        <w:t>systems</w:t>
      </w:r>
      <w:r>
        <w:rPr>
          <w:rFonts w:hint="eastAsia" w:ascii="Times New Roman" w:hAnsi="Times New Roman" w:eastAsia="宋体" w:cs="Times New Roman"/>
          <w:sz w:val="24"/>
          <w:szCs w:val="24"/>
        </w:rPr>
        <w:t xml:space="preserve"> for UAV</w:t>
      </w:r>
      <w:r>
        <w:rPr>
          <w:rFonts w:hint="eastAsia" w:ascii="Times New Roman" w:hAnsi="Times New Roman" w:eastAsia="宋体" w:cs="Times New Roman"/>
          <w:sz w:val="24"/>
          <w:szCs w:val="24"/>
          <w:lang w:val="en-US" w:eastAsia="zh-CN"/>
        </w:rPr>
        <w:t xml:space="preserve"> platforms</w:t>
      </w:r>
    </w:p>
    <w:p w14:paraId="24F21220">
      <w:pPr>
        <w:keepNext w:val="0"/>
        <w:keepLines w:val="0"/>
        <w:pageBreakBefore w:val="0"/>
        <w:widowControl w:val="0"/>
        <w:numPr>
          <w:ilvl w:val="0"/>
          <w:numId w:val="1"/>
        </w:numPr>
        <w:kinsoku/>
        <w:wordWrap/>
        <w:overflowPunct/>
        <w:topLinePunct w:val="0"/>
        <w:autoSpaceDE/>
        <w:autoSpaceDN/>
        <w:bidi w:val="0"/>
        <w:adjustRightInd/>
        <w:snapToGrid/>
        <w:spacing w:line="230" w:lineRule="exact"/>
        <w:ind w:left="420" w:leftChars="0" w:hanging="420" w:firstLine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Integration of UAV remote sensing with AI, big data analytics, and information geography.</w:t>
      </w:r>
    </w:p>
    <w:p w14:paraId="31069F6D">
      <w:pPr>
        <w:keepNext w:val="0"/>
        <w:keepLines w:val="0"/>
        <w:pageBreakBefore w:val="0"/>
        <w:widowControl w:val="0"/>
        <w:numPr>
          <w:ilvl w:val="0"/>
          <w:numId w:val="1"/>
        </w:numPr>
        <w:kinsoku/>
        <w:wordWrap/>
        <w:overflowPunct/>
        <w:topLinePunct w:val="0"/>
        <w:autoSpaceDE/>
        <w:autoSpaceDN/>
        <w:bidi w:val="0"/>
        <w:adjustRightInd/>
        <w:snapToGrid/>
        <w:spacing w:line="230" w:lineRule="exact"/>
        <w:ind w:left="420" w:leftChars="0" w:hanging="420" w:firstLine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Applications and </w:t>
      </w:r>
      <w:r>
        <w:rPr>
          <w:rFonts w:hint="eastAsia" w:ascii="Times New Roman" w:hAnsi="Times New Roman" w:eastAsia="宋体" w:cs="Times New Roman"/>
          <w:sz w:val="24"/>
          <w:szCs w:val="24"/>
          <w:lang w:val="en-US" w:eastAsia="zh-CN"/>
        </w:rPr>
        <w:t>c</w:t>
      </w:r>
      <w:r>
        <w:rPr>
          <w:rFonts w:hint="eastAsia" w:ascii="Times New Roman" w:hAnsi="Times New Roman" w:eastAsia="宋体" w:cs="Times New Roman"/>
          <w:sz w:val="24"/>
          <w:szCs w:val="24"/>
        </w:rPr>
        <w:t xml:space="preserve">ase </w:t>
      </w:r>
      <w:r>
        <w:rPr>
          <w:rFonts w:hint="eastAsia" w:ascii="Times New Roman" w:hAnsi="Times New Roman" w:eastAsia="宋体" w:cs="Times New Roman"/>
          <w:sz w:val="24"/>
          <w:szCs w:val="24"/>
          <w:lang w:val="en-US" w:eastAsia="zh-CN"/>
        </w:rPr>
        <w:t>s</w:t>
      </w:r>
      <w:r>
        <w:rPr>
          <w:rFonts w:hint="eastAsia" w:ascii="Times New Roman" w:hAnsi="Times New Roman" w:eastAsia="宋体" w:cs="Times New Roman"/>
          <w:sz w:val="24"/>
          <w:szCs w:val="24"/>
        </w:rPr>
        <w:t>tudies:</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precision agriculture, atmospheric monitoring, </w:t>
      </w:r>
      <w:r>
        <w:rPr>
          <w:rFonts w:hint="eastAsia" w:ascii="Times New Roman" w:hAnsi="Times New Roman" w:eastAsia="宋体" w:cs="Times New Roman"/>
          <w:sz w:val="24"/>
          <w:szCs w:val="24"/>
          <w:lang w:val="en-US" w:eastAsia="zh-CN"/>
        </w:rPr>
        <w:t xml:space="preserve">disaster management, </w:t>
      </w:r>
      <w:r>
        <w:rPr>
          <w:rFonts w:hint="eastAsia" w:ascii="Times New Roman" w:hAnsi="Times New Roman" w:eastAsia="宋体" w:cs="Times New Roman"/>
          <w:sz w:val="24"/>
          <w:szCs w:val="24"/>
        </w:rPr>
        <w:t>urban environments, lakes, oceans</w:t>
      </w:r>
      <w:r>
        <w:rPr>
          <w:rFonts w:hint="eastAsia" w:ascii="Times New Roman" w:hAnsi="Times New Roman" w:eastAsia="宋体" w:cs="Times New Roman"/>
          <w:sz w:val="24"/>
          <w:szCs w:val="24"/>
          <w:lang w:val="en-US" w:eastAsia="zh-CN"/>
        </w:rPr>
        <w:t>, glaciers, and natural resource monitoring</w:t>
      </w:r>
    </w:p>
    <w:p w14:paraId="5258F14E">
      <w:pPr>
        <w:keepNext w:val="0"/>
        <w:keepLines w:val="0"/>
        <w:pageBreakBefore w:val="0"/>
        <w:widowControl w:val="0"/>
        <w:numPr>
          <w:ilvl w:val="0"/>
          <w:numId w:val="1"/>
        </w:numPr>
        <w:kinsoku/>
        <w:wordWrap/>
        <w:overflowPunct/>
        <w:topLinePunct w:val="0"/>
        <w:autoSpaceDE/>
        <w:autoSpaceDN/>
        <w:bidi w:val="0"/>
        <w:adjustRightInd/>
        <w:snapToGrid/>
        <w:spacing w:line="230" w:lineRule="exact"/>
        <w:ind w:left="420" w:leftChars="0" w:hanging="420" w:firstLineChars="0"/>
        <w:textAlignment w:val="auto"/>
        <w:rPr>
          <w:sz w:val="24"/>
          <w:szCs w:val="24"/>
        </w:rPr>
      </w:pPr>
      <w:r>
        <w:rPr>
          <w:rFonts w:hint="eastAsia" w:ascii="Times New Roman" w:hAnsi="Times New Roman" w:eastAsia="宋体" w:cs="Times New Roman"/>
          <w:sz w:val="24"/>
          <w:szCs w:val="24"/>
        </w:rPr>
        <w:t>Integrated sensing and communication related to UAVs</w:t>
      </w:r>
    </w:p>
    <w:p w14:paraId="5F92E229">
      <w:pPr>
        <w:keepNext w:val="0"/>
        <w:keepLines w:val="0"/>
        <w:pageBreakBefore w:val="0"/>
        <w:widowControl w:val="0"/>
        <w:numPr>
          <w:ilvl w:val="0"/>
          <w:numId w:val="1"/>
        </w:numPr>
        <w:kinsoku/>
        <w:wordWrap/>
        <w:overflowPunct/>
        <w:topLinePunct w:val="0"/>
        <w:autoSpaceDE/>
        <w:autoSpaceDN/>
        <w:bidi w:val="0"/>
        <w:adjustRightInd/>
        <w:snapToGrid/>
        <w:spacing w:line="230" w:lineRule="exact"/>
        <w:ind w:left="420" w:leftChars="0" w:hanging="420" w:firstLineChars="0"/>
        <w:textAlignment w:val="auto"/>
        <w:rPr>
          <w:rFonts w:hint="default" w:ascii="宋体" w:hAnsi="宋体" w:eastAsia="宋体" w:cs="宋体"/>
          <w:sz w:val="24"/>
          <w:szCs w:val="24"/>
        </w:rPr>
      </w:pPr>
      <w:r>
        <w:rPr>
          <w:rFonts w:hint="eastAsia" w:ascii="Times New Roman" w:hAnsi="Times New Roman" w:eastAsia="宋体" w:cs="Times New Roman"/>
          <w:sz w:val="24"/>
          <w:szCs w:val="24"/>
        </w:rPr>
        <w:t>Reliability, safety, and risk assessment in UAV remote sensing operations</w:t>
      </w:r>
    </w:p>
    <w:p w14:paraId="0FD7A3B1">
      <w:pPr>
        <w:keepNext w:val="0"/>
        <w:keepLines w:val="0"/>
        <w:pageBreakBefore w:val="0"/>
        <w:widowControl w:val="0"/>
        <w:numPr>
          <w:ilvl w:val="0"/>
          <w:numId w:val="0"/>
        </w:numPr>
        <w:kinsoku/>
        <w:wordWrap/>
        <w:overflowPunct/>
        <w:topLinePunct w:val="0"/>
        <w:autoSpaceDE/>
        <w:autoSpaceDN/>
        <w:bidi w:val="0"/>
        <w:adjustRightInd/>
        <w:snapToGrid/>
        <w:spacing w:line="160" w:lineRule="atLeast"/>
        <w:ind w:leftChars="0"/>
        <w:textAlignment w:val="auto"/>
        <w:rPr>
          <w:rFonts w:hint="default" w:ascii="Times New Roman" w:hAnsi="Times New Roman" w:eastAsia="宋体" w:cs="Times New Roman"/>
          <w:b/>
          <w:bCs/>
          <w:sz w:val="22"/>
          <w:szCs w:val="22"/>
        </w:rPr>
      </w:pPr>
    </w:p>
    <w:p w14:paraId="7DFC2268">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textAlignment w:val="auto"/>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Articles submitted to this special issue of the IEEE Geoscience and Remote Sensing Magazine must contain significant relevance to geoscience and remote sensing and should have noteworthy technical/tutorial/review value. Selection of invited papers will be done on the basis of 4-page White papers, submitted in double-column format. These papers must discuss the foreseen objectives of the paper, the importance of the addressed topic, the impact of the contribution, and the authors’ expertise and past activities on the topic. Contributors selected on the basis of the White papers will be invited to submit full manuscripts. Manuscripts should be submitted online at http://mc.manuscriptcentral.com/grsm using the Manuscript Central interface. Prospective authors should consult site http://ieeexplore.ieee.org/servlet/opac?punumber=6245518 for guidelines and information on paper submission. Submitted articles should not have been published or be under review elsewhere. All submissions will be peer reviewed according to the IEEE and Geoscience and Remote Sensing Society guidelines.</w:t>
      </w:r>
    </w:p>
    <w:p w14:paraId="3028E068">
      <w:pPr>
        <w:keepNext w:val="0"/>
        <w:keepLines w:val="0"/>
        <w:pageBreakBefore w:val="0"/>
        <w:widowControl w:val="0"/>
        <w:kinsoku/>
        <w:wordWrap/>
        <w:overflowPunct/>
        <w:topLinePunct w:val="0"/>
        <w:autoSpaceDE/>
        <w:autoSpaceDN/>
        <w:bidi w:val="0"/>
        <w:adjustRightInd/>
        <w:snapToGrid/>
        <w:spacing w:before="157" w:beforeLines="50" w:line="200" w:lineRule="exact"/>
        <w:textAlignment w:val="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Special Issue tentative schedule:</w:t>
      </w:r>
    </w:p>
    <w:tbl>
      <w:tblPr>
        <w:tblStyle w:val="6"/>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0"/>
        <w:gridCol w:w="4737"/>
      </w:tblGrid>
      <w:tr w14:paraId="1D5E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14:paraId="2B5D85E2">
            <w:pPr>
              <w:numPr>
                <w:ilvl w:val="0"/>
                <w:numId w:val="0"/>
              </w:numPr>
              <w:ind w:left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White paper submission deadline</w:t>
            </w:r>
          </w:p>
        </w:tc>
        <w:tc>
          <w:tcPr>
            <w:tcW w:w="4737" w:type="dxa"/>
          </w:tcPr>
          <w:p w14:paraId="3BF510DD">
            <w:pPr>
              <w:numPr>
                <w:ilvl w:val="0"/>
                <w:numId w:val="0"/>
              </w:numPr>
              <w:rPr>
                <w:rFonts w:hint="default" w:ascii="Times New Roman" w:hAnsi="Times New Roman" w:eastAsia="宋体" w:cs="Times New Roman"/>
                <w:sz w:val="20"/>
                <w:szCs w:val="20"/>
                <w:vertAlign w:val="baseline"/>
                <w:lang w:val="en-US" w:eastAsia="zh-CN"/>
              </w:rPr>
            </w:pPr>
            <w:r>
              <w:rPr>
                <w:rFonts w:hint="eastAsia" w:ascii="Times New Roman" w:hAnsi="Times New Roman" w:eastAsia="宋体" w:cs="Times New Roman"/>
                <w:sz w:val="20"/>
                <w:szCs w:val="20"/>
                <w:vertAlign w:val="baseline"/>
                <w:lang w:val="en-US" w:eastAsia="zh-CN"/>
              </w:rPr>
              <w:t>August 31, 2025</w:t>
            </w:r>
          </w:p>
        </w:tc>
      </w:tr>
      <w:tr w14:paraId="6141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14:paraId="59B585B1">
            <w:pPr>
              <w:numPr>
                <w:ilvl w:val="0"/>
                <w:numId w:val="0"/>
              </w:numPr>
              <w:ind w:left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Invitation notification</w:t>
            </w:r>
          </w:p>
        </w:tc>
        <w:tc>
          <w:tcPr>
            <w:tcW w:w="4737" w:type="dxa"/>
          </w:tcPr>
          <w:p w14:paraId="4E932ABF">
            <w:pPr>
              <w:numPr>
                <w:ilvl w:val="0"/>
                <w:numId w:val="0"/>
              </w:numPr>
              <w:rPr>
                <w:rFonts w:hint="default" w:ascii="Times New Roman" w:hAnsi="Times New Roman" w:eastAsia="宋体" w:cs="Times New Roman"/>
                <w:sz w:val="20"/>
                <w:szCs w:val="20"/>
                <w:vertAlign w:val="baseline"/>
                <w:lang w:val="en-US" w:eastAsia="zh-CN"/>
              </w:rPr>
            </w:pPr>
            <w:r>
              <w:rPr>
                <w:rFonts w:hint="eastAsia" w:ascii="Times New Roman" w:hAnsi="Times New Roman" w:eastAsia="宋体" w:cs="Times New Roman"/>
                <w:sz w:val="20"/>
                <w:szCs w:val="20"/>
                <w:vertAlign w:val="baseline"/>
                <w:lang w:val="en-US" w:eastAsia="zh-CN"/>
              </w:rPr>
              <w:t>September 30, 2025</w:t>
            </w:r>
          </w:p>
        </w:tc>
      </w:tr>
      <w:tr w14:paraId="4DA8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14:paraId="6C52693D">
            <w:pPr>
              <w:numPr>
                <w:ilvl w:val="0"/>
                <w:numId w:val="0"/>
              </w:numPr>
              <w:ind w:left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Full paper submission deadline</w:t>
            </w:r>
          </w:p>
        </w:tc>
        <w:tc>
          <w:tcPr>
            <w:tcW w:w="4737" w:type="dxa"/>
          </w:tcPr>
          <w:p w14:paraId="20EEACA9">
            <w:pPr>
              <w:numPr>
                <w:ilvl w:val="0"/>
                <w:numId w:val="0"/>
              </w:numPr>
              <w:rPr>
                <w:rFonts w:hint="default" w:ascii="Times New Roman" w:hAnsi="Times New Roman" w:eastAsia="宋体" w:cs="Times New Roman"/>
                <w:sz w:val="20"/>
                <w:szCs w:val="20"/>
                <w:vertAlign w:val="baseline"/>
                <w:lang w:val="en-US" w:eastAsia="zh-CN"/>
              </w:rPr>
            </w:pPr>
            <w:r>
              <w:rPr>
                <w:rFonts w:hint="eastAsia" w:ascii="Times New Roman" w:hAnsi="Times New Roman" w:eastAsia="宋体" w:cs="Times New Roman"/>
                <w:sz w:val="20"/>
                <w:szCs w:val="20"/>
                <w:vertAlign w:val="baseline"/>
                <w:lang w:val="en-US" w:eastAsia="zh-CN"/>
              </w:rPr>
              <w:t>November 31, 2025</w:t>
            </w:r>
          </w:p>
        </w:tc>
      </w:tr>
      <w:tr w14:paraId="279B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14:paraId="266962D1">
            <w:pPr>
              <w:numPr>
                <w:ilvl w:val="0"/>
                <w:numId w:val="0"/>
              </w:numPr>
              <w:ind w:left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Review notification</w:t>
            </w:r>
          </w:p>
        </w:tc>
        <w:tc>
          <w:tcPr>
            <w:tcW w:w="4737" w:type="dxa"/>
          </w:tcPr>
          <w:p w14:paraId="7613C6F6">
            <w:pPr>
              <w:numPr>
                <w:ilvl w:val="0"/>
                <w:numId w:val="0"/>
              </w:numPr>
              <w:rPr>
                <w:rFonts w:hint="default" w:ascii="Times New Roman" w:hAnsi="Times New Roman" w:eastAsia="宋体" w:cs="Times New Roman"/>
                <w:sz w:val="20"/>
                <w:szCs w:val="20"/>
                <w:vertAlign w:val="baseline"/>
                <w:lang w:val="en-US" w:eastAsia="zh-CN"/>
              </w:rPr>
            </w:pPr>
            <w:r>
              <w:rPr>
                <w:rFonts w:hint="eastAsia" w:ascii="Times New Roman" w:hAnsi="Times New Roman" w:eastAsia="宋体" w:cs="Times New Roman"/>
                <w:sz w:val="20"/>
                <w:szCs w:val="20"/>
                <w:vertAlign w:val="baseline"/>
                <w:lang w:val="en-US" w:eastAsia="zh-CN"/>
              </w:rPr>
              <w:t>January 31, 2026</w:t>
            </w:r>
          </w:p>
        </w:tc>
      </w:tr>
      <w:tr w14:paraId="7FF9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14:paraId="586AA7BD">
            <w:pPr>
              <w:numPr>
                <w:ilvl w:val="0"/>
                <w:numId w:val="0"/>
              </w:numPr>
              <w:ind w:left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Revised manuscript due</w:t>
            </w:r>
          </w:p>
        </w:tc>
        <w:tc>
          <w:tcPr>
            <w:tcW w:w="4737" w:type="dxa"/>
          </w:tcPr>
          <w:p w14:paraId="6BBE37D5">
            <w:pPr>
              <w:numPr>
                <w:ilvl w:val="0"/>
                <w:numId w:val="0"/>
              </w:numPr>
              <w:rPr>
                <w:rFonts w:hint="default" w:ascii="Times New Roman" w:hAnsi="Times New Roman" w:eastAsia="宋体" w:cs="Times New Roman"/>
                <w:sz w:val="20"/>
                <w:szCs w:val="20"/>
                <w:vertAlign w:val="baseline"/>
                <w:lang w:val="en-US" w:eastAsia="zh-CN"/>
              </w:rPr>
            </w:pPr>
            <w:r>
              <w:rPr>
                <w:rFonts w:hint="eastAsia" w:ascii="Times New Roman" w:hAnsi="Times New Roman" w:eastAsia="宋体" w:cs="Times New Roman"/>
                <w:sz w:val="20"/>
                <w:szCs w:val="20"/>
                <w:vertAlign w:val="baseline"/>
                <w:lang w:val="en-US" w:eastAsia="zh-CN"/>
              </w:rPr>
              <w:t>March 31, 2026</w:t>
            </w:r>
          </w:p>
        </w:tc>
      </w:tr>
      <w:tr w14:paraId="1811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14:paraId="241BA124">
            <w:pPr>
              <w:numPr>
                <w:ilvl w:val="0"/>
                <w:numId w:val="0"/>
              </w:numPr>
              <w:ind w:left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Final acceptance notification</w:t>
            </w:r>
          </w:p>
        </w:tc>
        <w:tc>
          <w:tcPr>
            <w:tcW w:w="4737" w:type="dxa"/>
          </w:tcPr>
          <w:p w14:paraId="7DEFD048">
            <w:pPr>
              <w:numPr>
                <w:ilvl w:val="0"/>
                <w:numId w:val="0"/>
              </w:numPr>
              <w:rPr>
                <w:rFonts w:hint="default" w:ascii="Times New Roman" w:hAnsi="Times New Roman" w:eastAsia="宋体" w:cs="Times New Roman"/>
                <w:sz w:val="20"/>
                <w:szCs w:val="20"/>
                <w:vertAlign w:val="baseline"/>
                <w:lang w:val="en-US" w:eastAsia="zh-CN"/>
              </w:rPr>
            </w:pPr>
            <w:r>
              <w:rPr>
                <w:rFonts w:hint="eastAsia" w:ascii="Times New Roman" w:hAnsi="Times New Roman" w:eastAsia="宋体" w:cs="Times New Roman"/>
                <w:sz w:val="20"/>
                <w:szCs w:val="20"/>
                <w:vertAlign w:val="baseline"/>
                <w:lang w:val="en-US" w:eastAsia="zh-CN"/>
              </w:rPr>
              <w:t>May 31, 2026</w:t>
            </w:r>
          </w:p>
        </w:tc>
      </w:tr>
      <w:tr w14:paraId="1E44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14:paraId="06E2E9EE">
            <w:pPr>
              <w:numPr>
                <w:ilvl w:val="0"/>
                <w:numId w:val="0"/>
              </w:numPr>
              <w:ind w:left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Final manuscript due</w:t>
            </w:r>
          </w:p>
        </w:tc>
        <w:tc>
          <w:tcPr>
            <w:tcW w:w="4737" w:type="dxa"/>
          </w:tcPr>
          <w:p w14:paraId="418758A7">
            <w:pPr>
              <w:numPr>
                <w:ilvl w:val="0"/>
                <w:numId w:val="0"/>
              </w:numPr>
              <w:rPr>
                <w:rFonts w:hint="default" w:ascii="Times New Roman" w:hAnsi="Times New Roman" w:eastAsia="宋体" w:cs="Times New Roman"/>
                <w:sz w:val="20"/>
                <w:szCs w:val="20"/>
                <w:vertAlign w:val="baseline"/>
                <w:lang w:val="en-US" w:eastAsia="zh-CN"/>
              </w:rPr>
            </w:pPr>
            <w:r>
              <w:rPr>
                <w:rFonts w:hint="eastAsia" w:ascii="Times New Roman" w:hAnsi="Times New Roman" w:eastAsia="宋体" w:cs="Times New Roman"/>
                <w:sz w:val="20"/>
                <w:szCs w:val="20"/>
                <w:vertAlign w:val="baseline"/>
                <w:lang w:val="en-US" w:eastAsia="zh-CN"/>
              </w:rPr>
              <w:t>June 30, 2026</w:t>
            </w:r>
          </w:p>
        </w:tc>
      </w:tr>
      <w:tr w14:paraId="083C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14:paraId="405C93B1">
            <w:pPr>
              <w:numPr>
                <w:ilvl w:val="0"/>
                <w:numId w:val="0"/>
              </w:numPr>
              <w:ind w:leftChars="0"/>
              <w:rPr>
                <w:rFonts w:hint="default" w:ascii="Times New Roman" w:hAnsi="Times New Roman" w:eastAsia="宋体" w:cs="Times New Roman"/>
                <w:sz w:val="20"/>
                <w:szCs w:val="20"/>
              </w:rPr>
            </w:pPr>
            <w:r>
              <w:rPr>
                <w:rFonts w:hint="default" w:ascii="Times New Roman" w:hAnsi="Times New Roman" w:eastAsia="宋体" w:cs="Times New Roman"/>
                <w:sz w:val="20"/>
                <w:szCs w:val="20"/>
              </w:rPr>
              <w:t>Publication date</w:t>
            </w:r>
          </w:p>
        </w:tc>
        <w:tc>
          <w:tcPr>
            <w:tcW w:w="4737" w:type="dxa"/>
          </w:tcPr>
          <w:p w14:paraId="730324EF">
            <w:pPr>
              <w:numPr>
                <w:ilvl w:val="0"/>
                <w:numId w:val="0"/>
              </w:numPr>
              <w:rPr>
                <w:rFonts w:hint="default" w:ascii="Times New Roman" w:hAnsi="Times New Roman" w:eastAsia="宋体" w:cs="Times New Roman"/>
                <w:sz w:val="20"/>
                <w:szCs w:val="20"/>
                <w:vertAlign w:val="baseline"/>
                <w:lang w:val="en-US" w:eastAsia="zh-CN"/>
              </w:rPr>
            </w:pPr>
            <w:r>
              <w:rPr>
                <w:rFonts w:hint="eastAsia" w:ascii="Times New Roman" w:hAnsi="Times New Roman" w:eastAsia="宋体" w:cs="Times New Roman"/>
                <w:sz w:val="20"/>
                <w:szCs w:val="20"/>
                <w:vertAlign w:val="baseline"/>
                <w:lang w:val="en-US" w:eastAsia="zh-CN"/>
              </w:rPr>
              <w:t>September, 2026</w:t>
            </w:r>
          </w:p>
        </w:tc>
      </w:tr>
    </w:tbl>
    <w:p w14:paraId="13067257">
      <w:pPr>
        <w:numPr>
          <w:ilvl w:val="0"/>
          <w:numId w:val="0"/>
        </w:numPr>
        <w:ind w:leftChars="0"/>
        <w:rPr>
          <w:rFonts w:hint="default" w:ascii="Times New Roman" w:hAnsi="Times New Roman" w:eastAsia="宋体" w:cs="Times New Roman"/>
          <w:sz w:val="2"/>
          <w:szCs w:val="2"/>
        </w:rPr>
      </w:pPr>
    </w:p>
    <w:sectPr>
      <w:pgSz w:w="11906" w:h="16838"/>
      <w:pgMar w:top="1304" w:right="1247" w:bottom="1304" w:left="124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Roman">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4A237"/>
    <w:multiLevelType w:val="singleLevel"/>
    <w:tmpl w:val="8A34A237"/>
    <w:lvl w:ilvl="0" w:tentative="0">
      <w:start w:val="1"/>
      <w:numFmt w:val="bullet"/>
      <w:lvlText w:val=""/>
      <w:lvlJc w:val="left"/>
      <w:pPr>
        <w:ind w:left="420" w:leftChars="0" w:hanging="420" w:firstLineChars="0"/>
      </w:pPr>
      <w:rPr>
        <w:rFonts w:hint="default" w:ascii="Wingdings" w:hAnsi="Wingdings"/>
        <w:sz w:val="1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6487C"/>
    <w:rsid w:val="00054A99"/>
    <w:rsid w:val="029C4576"/>
    <w:rsid w:val="0B220922"/>
    <w:rsid w:val="0C861583"/>
    <w:rsid w:val="0DB518EC"/>
    <w:rsid w:val="0E085A63"/>
    <w:rsid w:val="0F26487C"/>
    <w:rsid w:val="140001EC"/>
    <w:rsid w:val="174F2A9F"/>
    <w:rsid w:val="34E57084"/>
    <w:rsid w:val="370174E8"/>
    <w:rsid w:val="3897190D"/>
    <w:rsid w:val="3A43462E"/>
    <w:rsid w:val="3C9E2902"/>
    <w:rsid w:val="47346181"/>
    <w:rsid w:val="4C7015DD"/>
    <w:rsid w:val="549A4AA5"/>
    <w:rsid w:val="5CD737F0"/>
    <w:rsid w:val="60AC7DBB"/>
    <w:rsid w:val="60C03647"/>
    <w:rsid w:val="62525FDC"/>
    <w:rsid w:val="664B1B75"/>
    <w:rsid w:val="682269E1"/>
    <w:rsid w:val="682C5996"/>
    <w:rsid w:val="69AD738C"/>
    <w:rsid w:val="69D11CCF"/>
    <w:rsid w:val="6E207FE3"/>
    <w:rsid w:val="70C4348D"/>
    <w:rsid w:val="71871C0D"/>
    <w:rsid w:val="7DCE6C68"/>
    <w:rsid w:val="7E3F3CDD"/>
    <w:rsid w:val="7E4E5D35"/>
    <w:rsid w:val="7FFB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0">
    <w:name w:val="VTSBody"/>
    <w:basedOn w:val="1"/>
    <w:qFormat/>
    <w:uiPriority w:val="0"/>
    <w:pPr>
      <w:spacing w:line="240" w:lineRule="exact"/>
      <w:ind w:firstLine="340"/>
      <w:jc w:val="both"/>
    </w:pPr>
    <w:rPr>
      <w:rFonts w:eastAsia="宋体"/>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3102</Characters>
  <Lines>0</Lines>
  <Paragraphs>0</Paragraphs>
  <TotalTime>19</TotalTime>
  <ScaleCrop>false</ScaleCrop>
  <LinksUpToDate>false</LinksUpToDate>
  <CharactersWithSpaces>3538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2025-02-27T07:05:00Z</dcterms:created>
  <dc:creator>Congzheng</dc:creator>
  <cp:lastModifiedBy>Congzheng</cp:lastModifiedBy>
  <dcterms:modified xsi:type="dcterms:W3CDTF">2025-06-07T05:56:26Z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4D2904E2F599456C8DAE91D17F696400_13</vt:lpwstr>
  </property>
  <property fmtid="{D5CDD505-2E9C-101B-9397-08002B2CF9AE}" pid="4" name="KSOTemplateDocerSaveRecord">
    <vt:lpwstr>eyJoZGlkIjoiODU1NzU2MDRkN2RhZTljOTljODFmOWFkZjI4ZTgxN2MiLCJ1c2VySWQiOiI0MTg1MzUxMjEifQ==</vt:lpwstr>
  </property>
</Properties>
</file>