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99CA5" w14:textId="77777777" w:rsidR="00956DD5" w:rsidRPr="00956AC1" w:rsidRDefault="00956AC1">
      <w:pPr>
        <w:pStyle w:val="Awards"/>
        <w:jc w:val="center"/>
        <w:rPr>
          <w:rFonts w:ascii="Arial" w:hAnsi="Arial"/>
          <w:b/>
          <w:sz w:val="32"/>
        </w:rPr>
      </w:pPr>
      <w:r w:rsidRPr="00956AC1">
        <w:rPr>
          <w:rFonts w:ascii="Arial" w:hAnsi="Arial"/>
          <w:b/>
          <w:sz w:val="32"/>
        </w:rPr>
        <w:t xml:space="preserve">IEEE </w:t>
      </w:r>
      <w:r w:rsidR="00F614B7" w:rsidRPr="00956AC1">
        <w:rPr>
          <w:rFonts w:ascii="Arial" w:hAnsi="Arial"/>
          <w:b/>
          <w:sz w:val="32"/>
        </w:rPr>
        <w:t>GRS</w:t>
      </w:r>
      <w:r w:rsidR="00956DD5" w:rsidRPr="00956AC1">
        <w:rPr>
          <w:rFonts w:ascii="Arial" w:hAnsi="Arial"/>
          <w:b/>
          <w:sz w:val="32"/>
        </w:rPr>
        <w:t>S SYMPOSIUM PRIZE PAPER AWARD</w:t>
      </w:r>
    </w:p>
    <w:p w14:paraId="5EFB13B9" w14:textId="77777777" w:rsidR="00956DD5" w:rsidRPr="00282DC8" w:rsidRDefault="00956DD5">
      <w:pPr>
        <w:pStyle w:val="Awards"/>
        <w:rPr>
          <w:rFonts w:ascii="Arial" w:hAnsi="Arial"/>
        </w:rPr>
      </w:pPr>
    </w:p>
    <w:p w14:paraId="6130795F" w14:textId="77777777" w:rsidR="00956DD5" w:rsidRPr="00282DC8" w:rsidRDefault="00956DD5" w:rsidP="00956DD5">
      <w:pPr>
        <w:pStyle w:val="Awards"/>
        <w:spacing w:after="120"/>
        <w:rPr>
          <w:rFonts w:ascii="Arial" w:hAnsi="Arial"/>
          <w:lang w:val="en-US"/>
        </w:rPr>
      </w:pPr>
      <w:r w:rsidRPr="00282DC8">
        <w:rPr>
          <w:rFonts w:ascii="Arial" w:hAnsi="Arial"/>
          <w:b/>
          <w:lang w:val="en-US"/>
        </w:rPr>
        <w:t>Criteria:</w:t>
      </w:r>
      <w:r w:rsidRPr="00282DC8">
        <w:rPr>
          <w:rFonts w:ascii="Arial" w:hAnsi="Arial"/>
          <w:lang w:val="en-US"/>
        </w:rPr>
        <w:t xml:space="preserve"> The </w:t>
      </w:r>
      <w:r w:rsidR="00F614B7">
        <w:rPr>
          <w:rFonts w:ascii="Arial" w:hAnsi="Arial"/>
          <w:lang w:val="en-US"/>
        </w:rPr>
        <w:t>GRSS</w:t>
      </w:r>
      <w:r w:rsidRPr="00282DC8">
        <w:rPr>
          <w:rFonts w:ascii="Arial" w:hAnsi="Arial"/>
          <w:lang w:val="en-US"/>
        </w:rPr>
        <w:t xml:space="preserve"> established the Symposium Prize Paper Award to recognize the author(s) who presented at the </w:t>
      </w:r>
      <w:r w:rsidR="00F614B7">
        <w:rPr>
          <w:rFonts w:ascii="Arial" w:hAnsi="Arial"/>
          <w:lang w:val="en-US"/>
        </w:rPr>
        <w:t>GRSS</w:t>
      </w:r>
      <w:r w:rsidRPr="00282DC8">
        <w:rPr>
          <w:rFonts w:ascii="Arial" w:hAnsi="Arial"/>
          <w:lang w:val="en-US"/>
        </w:rPr>
        <w:t xml:space="preserve"> Symposium (IGARSS) an exceptional paper in terms of content and impact on the </w:t>
      </w:r>
      <w:r w:rsidR="00F614B7">
        <w:rPr>
          <w:rFonts w:ascii="Arial" w:hAnsi="Arial"/>
          <w:lang w:val="en-US"/>
        </w:rPr>
        <w:t>GRSS</w:t>
      </w:r>
      <w:r w:rsidRPr="00282DC8">
        <w:rPr>
          <w:rFonts w:ascii="Arial" w:hAnsi="Arial"/>
          <w:lang w:val="en-US"/>
        </w:rPr>
        <w:t>. In selecting the paper, other factors considered are originality, clarity and timeliness of the paper. The published versions of the papers in the Digest shall also be evaluated.</w:t>
      </w:r>
    </w:p>
    <w:p w14:paraId="1BAD1133" w14:textId="77777777" w:rsidR="00956DD5" w:rsidRPr="00282DC8" w:rsidRDefault="00956DD5" w:rsidP="00956DD5">
      <w:pPr>
        <w:tabs>
          <w:tab w:val="left" w:pos="580"/>
        </w:tabs>
        <w:spacing w:after="120"/>
        <w:jc w:val="both"/>
        <w:rPr>
          <w:rFonts w:ascii="Arial" w:hAnsi="Arial"/>
          <w:lang w:val="en-US"/>
        </w:rPr>
      </w:pPr>
      <w:r w:rsidRPr="00282DC8">
        <w:rPr>
          <w:rFonts w:ascii="Arial" w:hAnsi="Arial"/>
          <w:b/>
          <w:lang w:val="en-US"/>
        </w:rPr>
        <w:t xml:space="preserve">Administration: </w:t>
      </w:r>
      <w:r w:rsidRPr="00282DC8">
        <w:rPr>
          <w:rFonts w:ascii="Arial" w:hAnsi="Arial"/>
          <w:lang w:val="en-US"/>
        </w:rPr>
        <w:t xml:space="preserve">The award will be administered by the </w:t>
      </w:r>
      <w:r w:rsidR="00F614B7">
        <w:rPr>
          <w:rFonts w:ascii="Arial" w:hAnsi="Arial"/>
          <w:lang w:val="en-US"/>
        </w:rPr>
        <w:t>GRSS</w:t>
      </w:r>
      <w:r w:rsidRPr="00282DC8">
        <w:rPr>
          <w:rFonts w:ascii="Arial" w:hAnsi="Arial"/>
          <w:lang w:val="en-US"/>
        </w:rPr>
        <w:t>.</w:t>
      </w:r>
    </w:p>
    <w:p w14:paraId="59798347" w14:textId="77777777" w:rsidR="00956DD5" w:rsidRPr="00956AC1" w:rsidRDefault="00956DD5" w:rsidP="00956AC1">
      <w:pPr>
        <w:pStyle w:val="Toc"/>
        <w:numPr>
          <w:ilvl w:val="0"/>
          <w:numId w:val="0"/>
        </w:numPr>
        <w:tabs>
          <w:tab w:val="num" w:pos="426"/>
        </w:tabs>
        <w:spacing w:after="80"/>
        <w:ind w:firstLine="11"/>
        <w:rPr>
          <w:iCs/>
          <w:color w:val="000000" w:themeColor="text1"/>
          <w:szCs w:val="24"/>
        </w:rPr>
      </w:pPr>
      <w:r w:rsidRPr="00282DC8">
        <w:rPr>
          <w:b/>
        </w:rPr>
        <w:t>Eligibility:</w:t>
      </w:r>
      <w:r w:rsidRPr="00282DC8">
        <w:t xml:space="preserve"> Papers orally presented in a Sessions of IGARSS and published in the </w:t>
      </w:r>
      <w:r w:rsidRPr="00956AC1">
        <w:rPr>
          <w:szCs w:val="24"/>
        </w:rPr>
        <w:t>Proceedings of IGARSS.</w:t>
      </w:r>
      <w:r w:rsidR="00956AC1" w:rsidRPr="00956AC1">
        <w:rPr>
          <w:szCs w:val="24"/>
        </w:rPr>
        <w:t xml:space="preserve"> </w:t>
      </w:r>
      <w:r w:rsidR="00956AC1" w:rsidRPr="00956AC1">
        <w:rPr>
          <w:iCs/>
          <w:color w:val="000000" w:themeColor="text1"/>
          <w:szCs w:val="24"/>
        </w:rPr>
        <w:t>Eligibility and the selection process shall comply with procedures and regulation established in IEEE and Society governing documents, particularly with IEEE Policy 4.4 on Awards Limitations</w:t>
      </w:r>
      <w:r w:rsidR="00956AC1" w:rsidRPr="00956AC1">
        <w:rPr>
          <w:color w:val="000000" w:themeColor="text1"/>
          <w:szCs w:val="24"/>
        </w:rPr>
        <w:t>.</w:t>
      </w:r>
    </w:p>
    <w:p w14:paraId="25AE2C03" w14:textId="4688DDD9" w:rsidR="00956DD5" w:rsidRPr="00282DC8" w:rsidRDefault="00956DD5" w:rsidP="00956DD5">
      <w:pPr>
        <w:tabs>
          <w:tab w:val="left" w:pos="580"/>
        </w:tabs>
        <w:spacing w:after="120"/>
        <w:jc w:val="both"/>
        <w:rPr>
          <w:rFonts w:ascii="Arial" w:hAnsi="Arial"/>
          <w:lang w:val="en-US"/>
        </w:rPr>
      </w:pPr>
      <w:r w:rsidRPr="00282DC8">
        <w:rPr>
          <w:rFonts w:ascii="Arial" w:hAnsi="Arial"/>
          <w:b/>
          <w:lang w:val="en-US"/>
        </w:rPr>
        <w:t>Award Items:</w:t>
      </w:r>
      <w:r w:rsidR="00956AC1">
        <w:rPr>
          <w:rFonts w:ascii="Arial" w:hAnsi="Arial"/>
          <w:lang w:val="en-US"/>
        </w:rPr>
        <w:t xml:space="preserve"> Certificate and check for </w:t>
      </w:r>
      <w:r w:rsidR="00C50A38">
        <w:rPr>
          <w:rFonts w:ascii="Arial" w:hAnsi="Arial"/>
          <w:lang w:val="en-US"/>
        </w:rPr>
        <w:t>US</w:t>
      </w:r>
      <w:bookmarkStart w:id="0" w:name="_GoBack"/>
      <w:bookmarkEnd w:id="0"/>
      <w:r w:rsidR="00956AC1">
        <w:rPr>
          <w:rFonts w:ascii="Arial" w:hAnsi="Arial"/>
          <w:lang w:val="en-US"/>
        </w:rPr>
        <w:t>$125</w:t>
      </w:r>
      <w:r w:rsidRPr="00282DC8">
        <w:rPr>
          <w:rFonts w:ascii="Arial" w:hAnsi="Arial"/>
          <w:lang w:val="en-US"/>
        </w:rPr>
        <w:t>0. In case of multiple authors, each will receive a certificate and the cash award will be shared among the coauthors.</w:t>
      </w:r>
    </w:p>
    <w:p w14:paraId="25DB342D" w14:textId="77777777" w:rsidR="00956DD5" w:rsidRPr="00282DC8" w:rsidRDefault="00956DD5" w:rsidP="00956DD5">
      <w:pPr>
        <w:tabs>
          <w:tab w:val="left" w:pos="580"/>
        </w:tabs>
        <w:spacing w:after="120"/>
        <w:jc w:val="both"/>
        <w:rPr>
          <w:rFonts w:ascii="Arial" w:hAnsi="Arial"/>
          <w:lang w:val="en-US"/>
        </w:rPr>
      </w:pPr>
      <w:r w:rsidRPr="00282DC8">
        <w:rPr>
          <w:rFonts w:ascii="Arial" w:hAnsi="Arial"/>
          <w:b/>
          <w:lang w:val="en-US"/>
        </w:rPr>
        <w:t>Funds:</w:t>
      </w:r>
      <w:r w:rsidRPr="00282DC8">
        <w:rPr>
          <w:rFonts w:ascii="Arial" w:hAnsi="Arial"/>
          <w:lang w:val="en-US"/>
        </w:rPr>
        <w:t xml:space="preserve"> Funds will be provided from the </w:t>
      </w:r>
      <w:r w:rsidR="00F614B7">
        <w:rPr>
          <w:rFonts w:ascii="Arial" w:hAnsi="Arial"/>
          <w:lang w:val="en-US"/>
        </w:rPr>
        <w:t>GRSS</w:t>
      </w:r>
      <w:r w:rsidRPr="00282DC8">
        <w:rPr>
          <w:rFonts w:ascii="Arial" w:hAnsi="Arial"/>
          <w:lang w:val="en-US"/>
        </w:rPr>
        <w:t xml:space="preserve"> treasury.</w:t>
      </w:r>
    </w:p>
    <w:p w14:paraId="656D67F4" w14:textId="77777777" w:rsidR="00956DD5" w:rsidRPr="00282DC8" w:rsidRDefault="00956DD5" w:rsidP="00956DD5">
      <w:pPr>
        <w:tabs>
          <w:tab w:val="left" w:pos="580"/>
        </w:tabs>
        <w:spacing w:after="120"/>
        <w:jc w:val="both"/>
        <w:rPr>
          <w:rFonts w:ascii="Arial" w:hAnsi="Arial"/>
          <w:lang w:val="en-US"/>
        </w:rPr>
      </w:pPr>
      <w:r w:rsidRPr="00282DC8">
        <w:rPr>
          <w:rFonts w:ascii="Arial" w:hAnsi="Arial"/>
          <w:b/>
          <w:lang w:val="en-US"/>
        </w:rPr>
        <w:t>Selection Procedure:</w:t>
      </w:r>
      <w:r w:rsidRPr="00282DC8">
        <w:rPr>
          <w:rFonts w:ascii="Arial" w:hAnsi="Arial"/>
          <w:lang w:val="en-US"/>
        </w:rPr>
        <w:t xml:space="preserve"> The Technical Program Chairman of the IGARSS will request nominations from the Session Chairs, and these nominations will be forwarded to the Awards Committee Chair. The Awards Committee (PAC) will accept these nominations, examine the corresponding papers in the Digest, and select an exceptional paper to be recommended to </w:t>
      </w:r>
      <w:r w:rsidR="00F614B7">
        <w:rPr>
          <w:rFonts w:ascii="Arial" w:hAnsi="Arial"/>
          <w:lang w:val="en-US"/>
        </w:rPr>
        <w:t>GRSS</w:t>
      </w:r>
      <w:r w:rsidRPr="00282DC8">
        <w:rPr>
          <w:rFonts w:ascii="Arial" w:hAnsi="Arial"/>
          <w:lang w:val="en-US"/>
        </w:rPr>
        <w:t xml:space="preserve"> </w:t>
      </w:r>
      <w:proofErr w:type="spellStart"/>
      <w:r w:rsidRPr="00282DC8">
        <w:rPr>
          <w:rFonts w:ascii="Arial" w:hAnsi="Arial"/>
          <w:lang w:val="en-US"/>
        </w:rPr>
        <w:t>AdCom</w:t>
      </w:r>
      <w:proofErr w:type="spellEnd"/>
      <w:r w:rsidRPr="00282DC8">
        <w:rPr>
          <w:rFonts w:ascii="Arial" w:hAnsi="Arial"/>
          <w:lang w:val="en-US"/>
        </w:rPr>
        <w:t xml:space="preserve">. The </w:t>
      </w:r>
      <w:r w:rsidR="00F614B7">
        <w:rPr>
          <w:rFonts w:ascii="Arial" w:hAnsi="Arial"/>
          <w:lang w:val="en-US"/>
        </w:rPr>
        <w:t xml:space="preserve">GRSS </w:t>
      </w:r>
      <w:proofErr w:type="spellStart"/>
      <w:r w:rsidR="00F614B7">
        <w:rPr>
          <w:rFonts w:ascii="Arial" w:hAnsi="Arial"/>
          <w:lang w:val="en-US"/>
        </w:rPr>
        <w:t>AdCom</w:t>
      </w:r>
      <w:proofErr w:type="spellEnd"/>
      <w:r w:rsidR="00F614B7">
        <w:rPr>
          <w:rFonts w:ascii="Arial" w:hAnsi="Arial"/>
          <w:lang w:val="en-US"/>
        </w:rPr>
        <w:t xml:space="preserve"> </w:t>
      </w:r>
      <w:r w:rsidRPr="00282DC8">
        <w:rPr>
          <w:rFonts w:ascii="Arial" w:hAnsi="Arial"/>
          <w:lang w:val="en-US"/>
        </w:rPr>
        <w:t>approves the selection.</w:t>
      </w:r>
    </w:p>
    <w:p w14:paraId="3139F207" w14:textId="77777777" w:rsidR="00956DD5" w:rsidRPr="00282DC8" w:rsidRDefault="00956DD5" w:rsidP="00956DD5">
      <w:pPr>
        <w:pStyle w:val="Awards"/>
        <w:spacing w:after="120"/>
        <w:rPr>
          <w:rFonts w:ascii="Arial" w:hAnsi="Arial"/>
          <w:lang w:val="en-US"/>
        </w:rPr>
      </w:pPr>
      <w:r w:rsidRPr="00282DC8">
        <w:rPr>
          <w:rFonts w:ascii="Arial" w:hAnsi="Arial"/>
          <w:b/>
          <w:lang w:val="en-US"/>
        </w:rPr>
        <w:t>Schedule:</w:t>
      </w:r>
      <w:r w:rsidRPr="00282DC8">
        <w:rPr>
          <w:rFonts w:ascii="Arial" w:hAnsi="Arial"/>
          <w:lang w:val="en-US"/>
        </w:rPr>
        <w:t xml:space="preserve"> Nominations for the Symposium Prize Papers shall be conducted during IGARSS. The titles and scores of the outstanding papers shall be forwarded to the </w:t>
      </w:r>
      <w:r w:rsidR="00F614B7">
        <w:rPr>
          <w:rFonts w:ascii="Arial" w:hAnsi="Arial"/>
          <w:lang w:val="en-US"/>
        </w:rPr>
        <w:t>GRSS</w:t>
      </w:r>
      <w:r w:rsidRPr="00282DC8">
        <w:rPr>
          <w:rFonts w:ascii="Arial" w:hAnsi="Arial"/>
          <w:lang w:val="en-US"/>
        </w:rPr>
        <w:t xml:space="preserve"> Awards Committee within one month following IGARSS. The Awards Committee shall accept these nominations and make a selection to recommend to </w:t>
      </w:r>
      <w:proofErr w:type="spellStart"/>
      <w:r w:rsidRPr="00282DC8">
        <w:rPr>
          <w:rFonts w:ascii="Arial" w:hAnsi="Arial"/>
          <w:lang w:val="en-US"/>
        </w:rPr>
        <w:t>AdCom</w:t>
      </w:r>
      <w:proofErr w:type="spellEnd"/>
      <w:r w:rsidRPr="00282DC8">
        <w:rPr>
          <w:rFonts w:ascii="Arial" w:hAnsi="Arial"/>
          <w:lang w:val="en-US"/>
        </w:rPr>
        <w:t xml:space="preserve"> by about six months prior to the following year's IGARSS. </w:t>
      </w:r>
    </w:p>
    <w:p w14:paraId="1706D016" w14:textId="77777777" w:rsidR="00956DD5" w:rsidRPr="00282DC8" w:rsidRDefault="00956DD5" w:rsidP="00956DD5">
      <w:pPr>
        <w:tabs>
          <w:tab w:val="left" w:pos="580"/>
        </w:tabs>
        <w:spacing w:after="120"/>
        <w:jc w:val="both"/>
        <w:rPr>
          <w:rFonts w:ascii="Arial" w:hAnsi="Arial"/>
          <w:lang w:val="en-US"/>
        </w:rPr>
      </w:pPr>
      <w:r w:rsidRPr="00282DC8">
        <w:rPr>
          <w:rFonts w:ascii="Arial" w:hAnsi="Arial"/>
          <w:b/>
          <w:lang w:val="en-US"/>
        </w:rPr>
        <w:t>Presentation:</w:t>
      </w:r>
      <w:r w:rsidRPr="00282DC8">
        <w:rPr>
          <w:rFonts w:ascii="Arial" w:hAnsi="Arial"/>
          <w:lang w:val="en-US"/>
        </w:rPr>
        <w:t xml:space="preserve"> The award shall be presented at an awards ceremony during IGARSS of the following year.</w:t>
      </w:r>
    </w:p>
    <w:p w14:paraId="7B6991CA" w14:textId="77777777" w:rsidR="00956DD5" w:rsidRPr="00282DC8" w:rsidRDefault="00956DD5" w:rsidP="00956DD5">
      <w:pPr>
        <w:tabs>
          <w:tab w:val="left" w:pos="580"/>
        </w:tabs>
        <w:spacing w:after="120"/>
        <w:jc w:val="both"/>
        <w:rPr>
          <w:rFonts w:ascii="Arial" w:hAnsi="Arial"/>
          <w:lang w:val="en-US"/>
        </w:rPr>
      </w:pPr>
      <w:r w:rsidRPr="00282DC8">
        <w:rPr>
          <w:rFonts w:ascii="Arial" w:hAnsi="Arial"/>
          <w:b/>
          <w:lang w:val="en-US"/>
        </w:rPr>
        <w:t>Publicity:</w:t>
      </w:r>
      <w:r w:rsidRPr="00282DC8">
        <w:rPr>
          <w:rFonts w:ascii="Arial" w:hAnsi="Arial"/>
          <w:lang w:val="en-US"/>
        </w:rPr>
        <w:t xml:space="preserve"> A feature publication will be published in the IEEE TRANSACTIONS ON GEOSCIENCE AND REMOTE SENSING and/or in the </w:t>
      </w:r>
      <w:r w:rsidR="00F614B7">
        <w:rPr>
          <w:rFonts w:ascii="Arial" w:hAnsi="Arial"/>
          <w:lang w:val="en-US"/>
        </w:rPr>
        <w:t>GRSS</w:t>
      </w:r>
      <w:r w:rsidRPr="00282DC8">
        <w:rPr>
          <w:rFonts w:ascii="Arial" w:hAnsi="Arial"/>
          <w:lang w:val="en-US"/>
        </w:rPr>
        <w:t xml:space="preserve"> </w:t>
      </w:r>
      <w:r w:rsidR="00BB621A">
        <w:rPr>
          <w:rFonts w:ascii="Arial" w:hAnsi="Arial"/>
          <w:lang w:val="en-US"/>
        </w:rPr>
        <w:t>Magazine</w:t>
      </w:r>
      <w:r w:rsidRPr="00282DC8">
        <w:rPr>
          <w:rFonts w:ascii="Arial" w:hAnsi="Arial"/>
          <w:lang w:val="en-US"/>
        </w:rPr>
        <w:t>.</w:t>
      </w:r>
    </w:p>
    <w:p w14:paraId="1C0ADC42" w14:textId="77777777" w:rsidR="00956DD5" w:rsidRPr="00282DC8" w:rsidRDefault="00956DD5" w:rsidP="00BB621A">
      <w:pPr>
        <w:pStyle w:val="Awards"/>
        <w:ind w:left="1134"/>
        <w:rPr>
          <w:rFonts w:ascii="Arial" w:hAnsi="Arial"/>
        </w:rPr>
      </w:pPr>
    </w:p>
    <w:sectPr w:rsidR="00956DD5" w:rsidRPr="00282DC8">
      <w:headerReference w:type="even" r:id="rId7"/>
      <w:headerReference w:type="default" r:id="rId8"/>
      <w:type w:val="oddPage"/>
      <w:pgSz w:w="11880" w:h="16820"/>
      <w:pgMar w:top="1702" w:right="1416" w:bottom="1702" w:left="1416" w:header="567" w:footer="567" w:gutter="0"/>
      <w:pgNumType w:start="1"/>
      <w:cols w:space="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7D62D" w14:textId="77777777" w:rsidR="00300E06" w:rsidRDefault="00300E06">
      <w:r>
        <w:separator/>
      </w:r>
    </w:p>
  </w:endnote>
  <w:endnote w:type="continuationSeparator" w:id="0">
    <w:p w14:paraId="3D18E7E8" w14:textId="77777777" w:rsidR="00300E06" w:rsidRDefault="00300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ookman">
    <w:altName w:val="Bookman Old Style"/>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E499D" w14:textId="77777777" w:rsidR="00300E06" w:rsidRDefault="00300E06">
      <w:r>
        <w:separator/>
      </w:r>
    </w:p>
  </w:footnote>
  <w:footnote w:type="continuationSeparator" w:id="0">
    <w:p w14:paraId="3ECF816D" w14:textId="77777777" w:rsidR="00300E06" w:rsidRDefault="00300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4E9F9" w14:textId="77777777" w:rsidR="00956DD5" w:rsidRDefault="00956DD5">
    <w:pPr>
      <w:pStyle w:val="Header"/>
      <w:framePr w:w="576" w:wrap="around" w:vAnchor="page" w:hAnchor="page" w:x="9664" w:y="752"/>
      <w:widowControl w:val="0"/>
      <w:jc w:val="right"/>
      <w:rPr>
        <w:rStyle w:val="PageNumber"/>
      </w:rPr>
    </w:pPr>
    <w:r>
      <w:rPr>
        <w:rStyle w:val="PageNumber"/>
      </w:rPr>
      <w:fldChar w:fldCharType="begin"/>
    </w:r>
    <w:r w:rsidR="00C8756F">
      <w:rPr>
        <w:rStyle w:val="PageNumber"/>
      </w:rPr>
      <w:instrText>PAGE</w:instrText>
    </w:r>
    <w:r>
      <w:rPr>
        <w:rStyle w:val="PageNumber"/>
      </w:rPr>
      <w:instrText xml:space="preserve">  </w:instrText>
    </w:r>
    <w:r>
      <w:rPr>
        <w:rStyle w:val="PageNumber"/>
      </w:rPr>
      <w:fldChar w:fldCharType="end"/>
    </w:r>
  </w:p>
  <w:p w14:paraId="77C0D49D" w14:textId="77777777" w:rsidR="00956DD5" w:rsidRDefault="00956DD5">
    <w:pPr>
      <w:pStyle w:val="Heade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DC9DB" w14:textId="416FCDE8" w:rsidR="00956DD5" w:rsidRPr="00356F16" w:rsidRDefault="00956DD5">
    <w:pPr>
      <w:pStyle w:val="Header"/>
      <w:widowControl w:val="0"/>
      <w:rPr>
        <w:rFonts w:ascii="Times New Roman" w:hAnsi="Times New Roman"/>
        <w:sz w:val="20"/>
      </w:rPr>
    </w:pPr>
    <w:r w:rsidRPr="00356F16">
      <w:rPr>
        <w:rStyle w:val="PageNumber"/>
        <w:rFonts w:ascii="Times New Roman" w:hAnsi="Times New Roman"/>
        <w:sz w:val="20"/>
      </w:rPr>
      <w:t>Revised Jan. 6. 2003, Revised Aug. 25. 2005</w:t>
    </w:r>
    <w:r w:rsidR="00507A86">
      <w:rPr>
        <w:rStyle w:val="PageNumber"/>
        <w:rFonts w:ascii="Times New Roman" w:hAnsi="Times New Roman"/>
        <w:sz w:val="20"/>
      </w:rPr>
      <w:t>; update 2013 Nov.</w:t>
    </w:r>
  </w:p>
  <w:p w14:paraId="24B5C65B" w14:textId="77777777" w:rsidR="00956DD5" w:rsidRDefault="00956DD5">
    <w:pPr>
      <w:pStyle w:val="Heade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C12CD"/>
    <w:multiLevelType w:val="hybridMultilevel"/>
    <w:tmpl w:val="B110422E"/>
    <w:lvl w:ilvl="0" w:tplc="0011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
    <w:nsid w:val="65E07FA3"/>
    <w:multiLevelType w:val="hybridMultilevel"/>
    <w:tmpl w:val="7B2EFB4A"/>
    <w:lvl w:ilvl="0" w:tplc="C1885EF8">
      <w:start w:val="1"/>
      <w:numFmt w:val="decimal"/>
      <w:pStyle w:val="Toc"/>
      <w:lvlText w:val="%1)"/>
      <w:lvlJc w:val="left"/>
      <w:pPr>
        <w:tabs>
          <w:tab w:val="num" w:pos="840"/>
        </w:tabs>
        <w:ind w:left="840" w:hanging="360"/>
      </w:pPr>
      <w:rPr>
        <w:rFonts w:hint="default"/>
      </w:rPr>
    </w:lvl>
    <w:lvl w:ilvl="1" w:tplc="00030407" w:tentative="1">
      <w:start w:val="1"/>
      <w:numFmt w:val="lowerLetter"/>
      <w:lvlText w:val="%2."/>
      <w:lvlJc w:val="left"/>
      <w:pPr>
        <w:tabs>
          <w:tab w:val="num" w:pos="1560"/>
        </w:tabs>
        <w:ind w:left="1560" w:hanging="360"/>
      </w:pPr>
    </w:lvl>
    <w:lvl w:ilvl="2" w:tplc="00050407" w:tentative="1">
      <w:start w:val="1"/>
      <w:numFmt w:val="lowerRoman"/>
      <w:lvlText w:val="%3."/>
      <w:lvlJc w:val="right"/>
      <w:pPr>
        <w:tabs>
          <w:tab w:val="num" w:pos="2280"/>
        </w:tabs>
        <w:ind w:left="2280" w:hanging="180"/>
      </w:pPr>
    </w:lvl>
    <w:lvl w:ilvl="3" w:tplc="00010407" w:tentative="1">
      <w:start w:val="1"/>
      <w:numFmt w:val="decimal"/>
      <w:lvlText w:val="%4."/>
      <w:lvlJc w:val="left"/>
      <w:pPr>
        <w:tabs>
          <w:tab w:val="num" w:pos="3000"/>
        </w:tabs>
        <w:ind w:left="3000" w:hanging="360"/>
      </w:pPr>
    </w:lvl>
    <w:lvl w:ilvl="4" w:tplc="00030407" w:tentative="1">
      <w:start w:val="1"/>
      <w:numFmt w:val="lowerLetter"/>
      <w:lvlText w:val="%5."/>
      <w:lvlJc w:val="left"/>
      <w:pPr>
        <w:tabs>
          <w:tab w:val="num" w:pos="3720"/>
        </w:tabs>
        <w:ind w:left="3720" w:hanging="360"/>
      </w:pPr>
    </w:lvl>
    <w:lvl w:ilvl="5" w:tplc="00050407" w:tentative="1">
      <w:start w:val="1"/>
      <w:numFmt w:val="lowerRoman"/>
      <w:lvlText w:val="%6."/>
      <w:lvlJc w:val="right"/>
      <w:pPr>
        <w:tabs>
          <w:tab w:val="num" w:pos="4440"/>
        </w:tabs>
        <w:ind w:left="4440" w:hanging="180"/>
      </w:pPr>
    </w:lvl>
    <w:lvl w:ilvl="6" w:tplc="00010407" w:tentative="1">
      <w:start w:val="1"/>
      <w:numFmt w:val="decimal"/>
      <w:lvlText w:val="%7."/>
      <w:lvlJc w:val="left"/>
      <w:pPr>
        <w:tabs>
          <w:tab w:val="num" w:pos="5160"/>
        </w:tabs>
        <w:ind w:left="5160" w:hanging="360"/>
      </w:pPr>
    </w:lvl>
    <w:lvl w:ilvl="7" w:tplc="00030407" w:tentative="1">
      <w:start w:val="1"/>
      <w:numFmt w:val="lowerLetter"/>
      <w:lvlText w:val="%8."/>
      <w:lvlJc w:val="left"/>
      <w:pPr>
        <w:tabs>
          <w:tab w:val="num" w:pos="5880"/>
        </w:tabs>
        <w:ind w:left="5880" w:hanging="360"/>
      </w:pPr>
    </w:lvl>
    <w:lvl w:ilvl="8" w:tplc="00050407" w:tentative="1">
      <w:start w:val="1"/>
      <w:numFmt w:val="lowerRoman"/>
      <w:lvlText w:val="%9."/>
      <w:lvlJc w:val="right"/>
      <w:pPr>
        <w:tabs>
          <w:tab w:val="num" w:pos="6600"/>
        </w:tabs>
        <w:ind w:left="6600" w:hanging="180"/>
      </w:pPr>
    </w:lvl>
  </w:abstractNum>
  <w:abstractNum w:abstractNumId="2">
    <w:nsid w:val="67E036DF"/>
    <w:multiLevelType w:val="hybridMultilevel"/>
    <w:tmpl w:val="92BCE314"/>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F16"/>
    <w:rsid w:val="00300E06"/>
    <w:rsid w:val="00356F16"/>
    <w:rsid w:val="00507A86"/>
    <w:rsid w:val="00956AC1"/>
    <w:rsid w:val="00956DD5"/>
    <w:rsid w:val="00BB621A"/>
    <w:rsid w:val="00C50A38"/>
    <w:rsid w:val="00C8756F"/>
    <w:rsid w:val="00E67936"/>
    <w:rsid w:val="00F614B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87E9AD5"/>
  <w14:defaultImageDpi w14:val="300"/>
  <w15:docId w15:val="{496A6BCF-7208-42AD-8D4A-C2C5F45F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man" w:hAnsi="Book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703"/>
        <w:tab w:val="right" w:pos="9406"/>
      </w:tabs>
    </w:pPr>
  </w:style>
  <w:style w:type="character" w:styleId="PageNumber">
    <w:name w:val="page number"/>
    <w:basedOn w:val="DefaultParagraphFont"/>
  </w:style>
  <w:style w:type="paragraph" w:customStyle="1" w:styleId="Awards">
    <w:name w:val="Awards"/>
    <w:basedOn w:val="Normal"/>
    <w:pPr>
      <w:jc w:val="both"/>
    </w:pPr>
  </w:style>
  <w:style w:type="paragraph" w:styleId="Footer">
    <w:name w:val="footer"/>
    <w:basedOn w:val="Normal"/>
    <w:pPr>
      <w:tabs>
        <w:tab w:val="center" w:pos="4536"/>
        <w:tab w:val="right" w:pos="9072"/>
      </w:tabs>
    </w:pPr>
  </w:style>
  <w:style w:type="paragraph" w:customStyle="1" w:styleId="Toc">
    <w:name w:val="Toc"/>
    <w:basedOn w:val="Normal"/>
    <w:rsid w:val="00956AC1"/>
    <w:pPr>
      <w:numPr>
        <w:numId w:val="3"/>
      </w:numPr>
      <w:jc w:val="both"/>
    </w:pPr>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1705</Characters>
  <Application>Microsoft Office Word</Application>
  <DocSecurity>0</DocSecurity>
  <Lines>14</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GRSS Symposium Prize Award</vt:lpstr>
      <vt:lpstr>The GRSS Symposium Prize Award</vt:lpstr>
    </vt:vector>
  </TitlesOfParts>
  <Company>Universität Karlsruhe (TH)</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GRSS Symposium Prize Award</dc:title>
  <dc:subject/>
  <dc:creator>Wiesbeck</dc:creator>
  <cp:keywords/>
  <cp:lastModifiedBy>Steven Reising</cp:lastModifiedBy>
  <cp:revision>5</cp:revision>
  <dcterms:created xsi:type="dcterms:W3CDTF">2013-11-10T16:56:00Z</dcterms:created>
  <dcterms:modified xsi:type="dcterms:W3CDTF">2013-11-18T18:20:00Z</dcterms:modified>
</cp:coreProperties>
</file>