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3C283" w14:textId="44939E78" w:rsidR="0065013A" w:rsidRPr="006A1550" w:rsidRDefault="0065013A" w:rsidP="004464DC">
      <w:pPr>
        <w:spacing w:after="120"/>
        <w:jc w:val="center"/>
        <w:rPr>
          <w:rFonts w:ascii="Arial" w:hAnsi="Arial"/>
          <w:b/>
          <w:sz w:val="32"/>
          <w:lang w:val="en-US"/>
        </w:rPr>
      </w:pPr>
      <w:r w:rsidRPr="006A1550">
        <w:rPr>
          <w:rFonts w:ascii="Arial" w:hAnsi="Arial"/>
          <w:b/>
          <w:sz w:val="32"/>
          <w:lang w:val="en-US"/>
        </w:rPr>
        <w:t xml:space="preserve"> </w:t>
      </w:r>
      <w:r w:rsidR="006A1550" w:rsidRPr="006A1550">
        <w:rPr>
          <w:rFonts w:ascii="Arial" w:hAnsi="Arial"/>
          <w:b/>
          <w:sz w:val="32"/>
          <w:lang w:val="en-US"/>
        </w:rPr>
        <w:t xml:space="preserve">IEEE </w:t>
      </w:r>
      <w:r w:rsidR="00F70422" w:rsidRPr="006A1550">
        <w:rPr>
          <w:rFonts w:ascii="Arial" w:hAnsi="Arial"/>
          <w:b/>
          <w:sz w:val="32"/>
          <w:lang w:val="en-US"/>
        </w:rPr>
        <w:t>GRSS</w:t>
      </w:r>
      <w:r w:rsidRPr="006A1550">
        <w:rPr>
          <w:rFonts w:ascii="Arial" w:hAnsi="Arial"/>
          <w:b/>
          <w:sz w:val="32"/>
          <w:lang w:val="en-US"/>
        </w:rPr>
        <w:t xml:space="preserve"> Student Prize Paper Award</w:t>
      </w:r>
    </w:p>
    <w:p w14:paraId="42D9F5BB" w14:textId="77777777" w:rsidR="004464DC" w:rsidRPr="00F91918" w:rsidRDefault="004464DC" w:rsidP="004464DC">
      <w:pPr>
        <w:spacing w:after="120"/>
        <w:rPr>
          <w:rFonts w:ascii="Arial" w:hAnsi="Arial"/>
          <w:color w:val="000000"/>
          <w:sz w:val="22"/>
          <w:lang w:val="en-US"/>
        </w:rPr>
      </w:pPr>
      <w:r w:rsidRPr="00F91918">
        <w:rPr>
          <w:rFonts w:ascii="Arial" w:hAnsi="Arial"/>
          <w:b/>
          <w:color w:val="000000"/>
          <w:sz w:val="22"/>
          <w:lang w:val="en-US"/>
        </w:rPr>
        <w:t>Description:</w:t>
      </w:r>
      <w:r w:rsidRPr="00F91918">
        <w:rPr>
          <w:rFonts w:ascii="Arial" w:hAnsi="Arial"/>
          <w:color w:val="000000"/>
          <w:sz w:val="22"/>
          <w:lang w:val="en-US"/>
        </w:rPr>
        <w:t xml:space="preserve"> The </w:t>
      </w:r>
      <w:r w:rsidR="00F70422">
        <w:rPr>
          <w:rFonts w:ascii="Arial" w:hAnsi="Arial"/>
          <w:color w:val="000000"/>
          <w:sz w:val="22"/>
          <w:lang w:val="en-US"/>
        </w:rPr>
        <w:t>GRSS</w:t>
      </w:r>
      <w:r w:rsidRPr="00F91918">
        <w:rPr>
          <w:rFonts w:ascii="Arial" w:hAnsi="Arial"/>
          <w:color w:val="000000"/>
          <w:sz w:val="22"/>
          <w:lang w:val="en-US"/>
        </w:rPr>
        <w:t xml:space="preserve"> Student Prize Paper Award was established to recognize the best student paper(s) presented at the IEEE International Geoscience and Remote Sensing Symposium (IGARSS). It is believed that early recognition of an outstanding paper will encourage the student to strive for greater and continued contributions to the Geoscience and Remote Sensing profession. The award shall be considered annually.</w:t>
      </w:r>
    </w:p>
    <w:p w14:paraId="3EB4CE1E" w14:textId="77777777" w:rsidR="004464DC" w:rsidRPr="00F91918" w:rsidRDefault="004464DC" w:rsidP="004464DC">
      <w:pPr>
        <w:spacing w:after="80"/>
        <w:ind w:right="108"/>
        <w:rPr>
          <w:rFonts w:ascii="Arial" w:hAnsi="Arial"/>
          <w:color w:val="000000"/>
          <w:sz w:val="22"/>
          <w:lang w:val="en-US"/>
        </w:rPr>
      </w:pPr>
      <w:r w:rsidRPr="00F91918">
        <w:rPr>
          <w:rFonts w:ascii="Arial" w:hAnsi="Arial"/>
          <w:b/>
          <w:bCs/>
          <w:color w:val="000000"/>
          <w:sz w:val="22"/>
          <w:szCs w:val="28"/>
          <w:lang w:val="en-US"/>
        </w:rPr>
        <w:t>Administration:</w:t>
      </w:r>
      <w:r w:rsidRPr="00F91918">
        <w:rPr>
          <w:rFonts w:ascii="Arial" w:hAnsi="Arial"/>
          <w:color w:val="000000"/>
          <w:sz w:val="22"/>
          <w:szCs w:val="28"/>
          <w:lang w:val="en-US"/>
        </w:rPr>
        <w:t xml:space="preserve"> IEEE Geoscience and Remote Sensing Society (IEEE </w:t>
      </w:r>
      <w:r w:rsidR="00F70422">
        <w:rPr>
          <w:rFonts w:ascii="Arial" w:hAnsi="Arial"/>
          <w:color w:val="000000"/>
          <w:sz w:val="22"/>
          <w:szCs w:val="28"/>
          <w:lang w:val="en-US"/>
        </w:rPr>
        <w:t>GRSS</w:t>
      </w:r>
      <w:r w:rsidRPr="00F91918">
        <w:rPr>
          <w:rFonts w:ascii="Arial" w:hAnsi="Arial"/>
          <w:color w:val="000000"/>
          <w:sz w:val="22"/>
          <w:szCs w:val="28"/>
          <w:lang w:val="en-US"/>
        </w:rPr>
        <w:t>).</w:t>
      </w:r>
    </w:p>
    <w:p w14:paraId="39541DCE" w14:textId="77777777" w:rsidR="004464DC" w:rsidRPr="00F91918" w:rsidRDefault="004464DC" w:rsidP="004464DC">
      <w:pPr>
        <w:spacing w:after="120"/>
        <w:rPr>
          <w:rFonts w:ascii="Arial" w:hAnsi="Arial"/>
          <w:color w:val="000000"/>
          <w:sz w:val="22"/>
          <w:lang w:val="en-US"/>
        </w:rPr>
      </w:pPr>
      <w:r w:rsidRPr="00F91918">
        <w:rPr>
          <w:rFonts w:ascii="Arial" w:hAnsi="Arial"/>
          <w:b/>
          <w:color w:val="000000"/>
          <w:sz w:val="22"/>
          <w:lang w:val="en-US"/>
        </w:rPr>
        <w:t xml:space="preserve">Eligibility: </w:t>
      </w:r>
      <w:r w:rsidRPr="00F91918">
        <w:rPr>
          <w:rFonts w:ascii="Arial" w:hAnsi="Arial"/>
          <w:color w:val="000000"/>
          <w:sz w:val="22"/>
          <w:lang w:val="en-US"/>
        </w:rPr>
        <w:t xml:space="preserve">The (first) author(s) must: </w:t>
      </w:r>
    </w:p>
    <w:p w14:paraId="6B08378F" w14:textId="77777777" w:rsidR="004464DC" w:rsidRPr="00F91918" w:rsidRDefault="004464DC" w:rsidP="004464DC">
      <w:pPr>
        <w:numPr>
          <w:ilvl w:val="0"/>
          <w:numId w:val="4"/>
        </w:numPr>
        <w:tabs>
          <w:tab w:val="left" w:pos="567"/>
        </w:tabs>
        <w:rPr>
          <w:rFonts w:ascii="Arial" w:hAnsi="Arial"/>
          <w:color w:val="000000"/>
          <w:sz w:val="22"/>
          <w:lang w:val="en-US"/>
        </w:rPr>
      </w:pPr>
      <w:r w:rsidRPr="00F91918">
        <w:rPr>
          <w:rFonts w:ascii="Arial" w:hAnsi="Arial"/>
          <w:color w:val="000000"/>
          <w:sz w:val="22"/>
          <w:lang w:val="en-US"/>
        </w:rPr>
        <w:t xml:space="preserve">be a student, </w:t>
      </w:r>
    </w:p>
    <w:p w14:paraId="35484CFB" w14:textId="77777777" w:rsidR="004464DC" w:rsidRPr="00F91918" w:rsidRDefault="004464DC" w:rsidP="004464DC">
      <w:pPr>
        <w:numPr>
          <w:ilvl w:val="0"/>
          <w:numId w:val="4"/>
        </w:numPr>
        <w:tabs>
          <w:tab w:val="left" w:pos="567"/>
        </w:tabs>
        <w:rPr>
          <w:rFonts w:ascii="Arial" w:hAnsi="Arial"/>
          <w:color w:val="000000"/>
          <w:sz w:val="22"/>
          <w:lang w:val="en-US"/>
        </w:rPr>
      </w:pPr>
      <w:r w:rsidRPr="00F91918">
        <w:rPr>
          <w:rFonts w:ascii="Arial" w:hAnsi="Arial"/>
          <w:color w:val="000000"/>
          <w:sz w:val="22"/>
          <w:lang w:val="en-US"/>
        </w:rPr>
        <w:t xml:space="preserve">be under 33 years of age, </w:t>
      </w:r>
    </w:p>
    <w:p w14:paraId="31BDFF8B" w14:textId="77777777" w:rsidR="004464DC" w:rsidRPr="00F91918" w:rsidRDefault="004464DC" w:rsidP="004464DC">
      <w:pPr>
        <w:numPr>
          <w:ilvl w:val="0"/>
          <w:numId w:val="4"/>
        </w:numPr>
        <w:tabs>
          <w:tab w:val="left" w:pos="567"/>
        </w:tabs>
        <w:rPr>
          <w:rFonts w:ascii="Arial" w:hAnsi="Arial"/>
          <w:color w:val="000000"/>
          <w:sz w:val="22"/>
          <w:lang w:val="en-US"/>
        </w:rPr>
      </w:pPr>
      <w:r w:rsidRPr="00F91918">
        <w:rPr>
          <w:rFonts w:ascii="Arial" w:hAnsi="Arial"/>
          <w:color w:val="000000"/>
          <w:sz w:val="22"/>
          <w:lang w:val="en-US"/>
        </w:rPr>
        <w:t xml:space="preserve">be a candidate for a graduate degree  (PhD students included), </w:t>
      </w:r>
    </w:p>
    <w:p w14:paraId="61014079" w14:textId="77777777" w:rsidR="004464DC" w:rsidRPr="00F91918" w:rsidRDefault="004464DC" w:rsidP="004464DC">
      <w:pPr>
        <w:numPr>
          <w:ilvl w:val="0"/>
          <w:numId w:val="4"/>
        </w:numPr>
        <w:tabs>
          <w:tab w:val="left" w:pos="567"/>
        </w:tabs>
        <w:rPr>
          <w:rFonts w:ascii="Arial" w:hAnsi="Arial"/>
          <w:color w:val="000000"/>
          <w:sz w:val="22"/>
          <w:lang w:val="en-US"/>
        </w:rPr>
      </w:pPr>
      <w:r w:rsidRPr="00F91918">
        <w:rPr>
          <w:rFonts w:ascii="Arial" w:hAnsi="Arial"/>
          <w:color w:val="000000"/>
          <w:sz w:val="22"/>
          <w:lang w:val="en-US"/>
        </w:rPr>
        <w:t xml:space="preserve">be an IEEE member, </w:t>
      </w:r>
    </w:p>
    <w:p w14:paraId="08135F04" w14:textId="77777777" w:rsidR="004464DC" w:rsidRPr="00F91918" w:rsidRDefault="004464DC" w:rsidP="004464DC">
      <w:pPr>
        <w:numPr>
          <w:ilvl w:val="0"/>
          <w:numId w:val="4"/>
        </w:numPr>
        <w:tabs>
          <w:tab w:val="left" w:pos="567"/>
        </w:tabs>
        <w:rPr>
          <w:rFonts w:ascii="Arial" w:hAnsi="Arial"/>
          <w:color w:val="000000"/>
          <w:sz w:val="22"/>
          <w:lang w:val="en-US"/>
        </w:rPr>
      </w:pPr>
      <w:r w:rsidRPr="00F91918">
        <w:rPr>
          <w:rFonts w:ascii="Arial" w:hAnsi="Arial"/>
          <w:color w:val="000000"/>
          <w:sz w:val="22"/>
          <w:lang w:val="en-US"/>
        </w:rPr>
        <w:t xml:space="preserve">publish the paper in the IGARSS digest, </w:t>
      </w:r>
    </w:p>
    <w:p w14:paraId="6A30D5FF" w14:textId="77777777" w:rsidR="004464DC" w:rsidRPr="00F91918" w:rsidRDefault="004464DC" w:rsidP="004464DC">
      <w:pPr>
        <w:numPr>
          <w:ilvl w:val="0"/>
          <w:numId w:val="4"/>
        </w:numPr>
        <w:tabs>
          <w:tab w:val="left" w:pos="567"/>
        </w:tabs>
        <w:rPr>
          <w:rFonts w:ascii="Arial" w:hAnsi="Arial"/>
          <w:color w:val="000000"/>
          <w:sz w:val="22"/>
          <w:lang w:val="en-US"/>
        </w:rPr>
      </w:pPr>
      <w:r w:rsidRPr="00F91918">
        <w:rPr>
          <w:rFonts w:ascii="Arial" w:hAnsi="Arial"/>
          <w:color w:val="000000"/>
          <w:sz w:val="22"/>
          <w:lang w:val="en-US"/>
        </w:rPr>
        <w:t xml:space="preserve">be registered at IGARSS, </w:t>
      </w:r>
    </w:p>
    <w:p w14:paraId="6E8E84A8" w14:textId="77777777" w:rsidR="004464DC" w:rsidRPr="00F91918" w:rsidRDefault="004464DC" w:rsidP="004464DC">
      <w:pPr>
        <w:numPr>
          <w:ilvl w:val="0"/>
          <w:numId w:val="4"/>
        </w:numPr>
        <w:tabs>
          <w:tab w:val="left" w:pos="567"/>
        </w:tabs>
        <w:rPr>
          <w:rFonts w:ascii="Arial" w:hAnsi="Arial"/>
          <w:color w:val="000000"/>
          <w:sz w:val="22"/>
          <w:lang w:val="en-US"/>
        </w:rPr>
      </w:pPr>
      <w:r w:rsidRPr="00F91918">
        <w:rPr>
          <w:rFonts w:ascii="Arial" w:hAnsi="Arial"/>
          <w:color w:val="000000"/>
          <w:sz w:val="22"/>
          <w:lang w:val="en-US"/>
        </w:rPr>
        <w:t xml:space="preserve">personally present the paper at IGARSS, and </w:t>
      </w:r>
    </w:p>
    <w:p w14:paraId="6C8405E2" w14:textId="77777777" w:rsidR="004464DC" w:rsidRPr="00F91918" w:rsidRDefault="004464DC" w:rsidP="004464DC">
      <w:pPr>
        <w:numPr>
          <w:ilvl w:val="0"/>
          <w:numId w:val="4"/>
        </w:numPr>
        <w:tabs>
          <w:tab w:val="left" w:pos="567"/>
        </w:tabs>
        <w:rPr>
          <w:rFonts w:ascii="Arial" w:hAnsi="Arial"/>
          <w:color w:val="000000"/>
          <w:sz w:val="22"/>
          <w:lang w:val="en-US"/>
        </w:rPr>
      </w:pPr>
      <w:r w:rsidRPr="00F91918">
        <w:rPr>
          <w:rFonts w:ascii="Arial" w:hAnsi="Arial"/>
          <w:color w:val="000000"/>
          <w:sz w:val="22"/>
          <w:lang w:val="en-US"/>
        </w:rPr>
        <w:t xml:space="preserve">be present at the IGARSS banquet to receive the award. </w:t>
      </w:r>
    </w:p>
    <w:p w14:paraId="1FE29BD3" w14:textId="77777777" w:rsidR="004464DC" w:rsidRDefault="004464DC" w:rsidP="004464DC">
      <w:pPr>
        <w:spacing w:after="120"/>
        <w:rPr>
          <w:rFonts w:ascii="Arial" w:hAnsi="Arial"/>
          <w:color w:val="000000"/>
          <w:sz w:val="22"/>
          <w:lang w:val="en-US"/>
        </w:rPr>
      </w:pPr>
      <w:r w:rsidRPr="00F91918">
        <w:rPr>
          <w:rFonts w:ascii="Arial" w:hAnsi="Arial"/>
          <w:color w:val="000000"/>
          <w:sz w:val="22"/>
          <w:lang w:val="en-US"/>
        </w:rPr>
        <w:t>Multiple eligible authors are allowed. An ineligible co-author, or an advisor, must verify on university letterhead that the candidate is a student, under 33 years of age, a candidate for a graduate degree, and an IEEE member on the submittal date of the paper.</w:t>
      </w:r>
    </w:p>
    <w:p w14:paraId="2EA98174" w14:textId="74B6CFB8" w:rsidR="00DE789D" w:rsidRPr="00DE789D" w:rsidRDefault="00DE789D" w:rsidP="00DE789D">
      <w:pPr>
        <w:pStyle w:val="Toc"/>
        <w:numPr>
          <w:ilvl w:val="0"/>
          <w:numId w:val="0"/>
        </w:numPr>
        <w:spacing w:after="80"/>
        <w:ind w:firstLine="11"/>
        <w:rPr>
          <w:iCs/>
          <w:color w:val="000000" w:themeColor="text1"/>
          <w:sz w:val="22"/>
          <w:szCs w:val="22"/>
        </w:rPr>
      </w:pPr>
      <w:r w:rsidRPr="00E26635">
        <w:rPr>
          <w:iCs/>
          <w:color w:val="000000" w:themeColor="text1"/>
          <w:sz w:val="22"/>
          <w:szCs w:val="22"/>
        </w:rPr>
        <w:t>Eligibility and the selection process shall comply with procedures and regulation established in IEEE and Society governing documents, particularly with IEEE Policy 4.4 on Awards Limitations</w:t>
      </w:r>
      <w:r w:rsidRPr="00E26635">
        <w:rPr>
          <w:color w:val="000000" w:themeColor="text1"/>
          <w:sz w:val="22"/>
          <w:szCs w:val="22"/>
        </w:rPr>
        <w:t>.</w:t>
      </w:r>
    </w:p>
    <w:p w14:paraId="5380B6B5" w14:textId="77777777" w:rsidR="004464DC" w:rsidRPr="00F70422" w:rsidRDefault="004464DC" w:rsidP="004464DC">
      <w:pPr>
        <w:spacing w:after="120"/>
        <w:rPr>
          <w:rFonts w:ascii="Arial" w:hAnsi="Arial"/>
          <w:color w:val="000000"/>
          <w:sz w:val="22"/>
          <w:lang w:val="en-US"/>
        </w:rPr>
      </w:pPr>
      <w:r w:rsidRPr="00F70422">
        <w:rPr>
          <w:rFonts w:ascii="Arial" w:hAnsi="Arial"/>
          <w:iCs/>
          <w:color w:val="000000"/>
          <w:sz w:val="22"/>
          <w:szCs w:val="28"/>
          <w:lang w:val="en-US"/>
        </w:rPr>
        <w:t>Eligibility and Selection process shall comply with procedures and regulation established in IEEE and Society governing documents, particularly with IEEE Policy 4.4 on Awards Limitations</w:t>
      </w:r>
    </w:p>
    <w:p w14:paraId="0BEE1B6B" w14:textId="13F4D85E" w:rsidR="004464DC" w:rsidRPr="00F91918" w:rsidRDefault="004464DC" w:rsidP="004464DC">
      <w:pPr>
        <w:spacing w:after="120"/>
        <w:rPr>
          <w:rFonts w:ascii="Arial" w:hAnsi="Arial"/>
          <w:color w:val="000000"/>
          <w:sz w:val="22"/>
          <w:lang w:val="en-US"/>
        </w:rPr>
      </w:pPr>
      <w:r w:rsidRPr="00F70422">
        <w:rPr>
          <w:rFonts w:ascii="Arial" w:hAnsi="Arial"/>
          <w:b/>
          <w:color w:val="000000"/>
          <w:sz w:val="22"/>
          <w:lang w:val="en-US"/>
        </w:rPr>
        <w:t xml:space="preserve">Prize Items: </w:t>
      </w:r>
      <w:r w:rsidRPr="00F70422">
        <w:rPr>
          <w:rFonts w:ascii="Arial" w:hAnsi="Arial"/>
          <w:color w:val="000000"/>
          <w:sz w:val="22"/>
          <w:lang w:val="en-US"/>
        </w:rPr>
        <w:t>A maximum of three awards in rank order will be presented with hono</w:t>
      </w:r>
      <w:r w:rsidR="00164620">
        <w:rPr>
          <w:rFonts w:ascii="Arial" w:hAnsi="Arial"/>
          <w:color w:val="000000"/>
          <w:sz w:val="22"/>
          <w:lang w:val="en-US"/>
        </w:rPr>
        <w:t>raria of US$1</w:t>
      </w:r>
      <w:r w:rsidRPr="0065013A">
        <w:rPr>
          <w:rFonts w:ascii="Arial" w:hAnsi="Arial"/>
          <w:color w:val="000000"/>
          <w:sz w:val="22"/>
          <w:lang w:val="en-US"/>
        </w:rPr>
        <w:t xml:space="preserve">000, </w:t>
      </w:r>
      <w:r w:rsidR="00164620">
        <w:rPr>
          <w:rFonts w:ascii="Arial" w:hAnsi="Arial"/>
          <w:color w:val="000000"/>
          <w:sz w:val="22"/>
          <w:lang w:val="en-US"/>
        </w:rPr>
        <w:t>US</w:t>
      </w:r>
      <w:r w:rsidRPr="0065013A">
        <w:rPr>
          <w:rFonts w:ascii="Arial" w:hAnsi="Arial"/>
          <w:color w:val="000000"/>
          <w:sz w:val="22"/>
          <w:lang w:val="en-US"/>
        </w:rPr>
        <w:t xml:space="preserve">$750, and </w:t>
      </w:r>
      <w:r w:rsidR="00164620">
        <w:rPr>
          <w:rFonts w:ascii="Arial" w:hAnsi="Arial"/>
          <w:color w:val="000000"/>
          <w:sz w:val="22"/>
          <w:lang w:val="en-US"/>
        </w:rPr>
        <w:t>US</w:t>
      </w:r>
      <w:bookmarkStart w:id="0" w:name="_GoBack"/>
      <w:bookmarkEnd w:id="0"/>
      <w:r w:rsidRPr="0065013A">
        <w:rPr>
          <w:rFonts w:ascii="Arial" w:hAnsi="Arial"/>
          <w:color w:val="000000"/>
          <w:sz w:val="22"/>
          <w:lang w:val="en-US"/>
        </w:rPr>
        <w:t>$500 respectively, and each awardee will receive a Certif</w:t>
      </w:r>
      <w:r w:rsidRPr="00F91918">
        <w:rPr>
          <w:rFonts w:ascii="Arial" w:hAnsi="Arial"/>
          <w:color w:val="000000"/>
          <w:sz w:val="22"/>
          <w:lang w:val="en-US"/>
        </w:rPr>
        <w:t xml:space="preserve">icate. If there are multiple eligible authors, the honoraria will be shared. </w:t>
      </w:r>
    </w:p>
    <w:p w14:paraId="489E8D4B" w14:textId="77777777" w:rsidR="004464DC" w:rsidRPr="00F91918" w:rsidRDefault="004464DC" w:rsidP="004464DC">
      <w:pPr>
        <w:spacing w:after="80"/>
        <w:ind w:right="-36"/>
        <w:rPr>
          <w:rFonts w:ascii="Arial" w:hAnsi="Arial"/>
          <w:color w:val="000000"/>
          <w:sz w:val="22"/>
          <w:szCs w:val="28"/>
          <w:lang w:val="en-US"/>
        </w:rPr>
      </w:pPr>
      <w:r w:rsidRPr="00F91918">
        <w:rPr>
          <w:rFonts w:ascii="Arial" w:hAnsi="Arial"/>
          <w:b/>
          <w:bCs/>
          <w:color w:val="000000"/>
          <w:sz w:val="22"/>
          <w:szCs w:val="28"/>
          <w:lang w:val="en-US"/>
        </w:rPr>
        <w:t xml:space="preserve">Funds:  </w:t>
      </w:r>
      <w:r w:rsidRPr="00F91918">
        <w:rPr>
          <w:rFonts w:ascii="Arial" w:hAnsi="Arial"/>
          <w:bCs/>
          <w:color w:val="000000"/>
          <w:sz w:val="22"/>
          <w:szCs w:val="28"/>
          <w:lang w:val="en-US"/>
        </w:rPr>
        <w:t xml:space="preserve">The </w:t>
      </w:r>
      <w:r w:rsidRPr="00F91918">
        <w:rPr>
          <w:rFonts w:ascii="Arial" w:hAnsi="Arial"/>
          <w:color w:val="000000"/>
          <w:sz w:val="22"/>
          <w:szCs w:val="28"/>
          <w:lang w:val="en-US"/>
        </w:rPr>
        <w:t xml:space="preserve">award is funded through </w:t>
      </w:r>
      <w:r w:rsidRPr="00F91918">
        <w:rPr>
          <w:rFonts w:ascii="Arial" w:hAnsi="Arial"/>
          <w:bCs/>
          <w:color w:val="000000"/>
          <w:sz w:val="22"/>
          <w:szCs w:val="28"/>
          <w:lang w:val="en-US"/>
        </w:rPr>
        <w:t xml:space="preserve">the IEEE </w:t>
      </w:r>
      <w:r w:rsidR="00F70422">
        <w:rPr>
          <w:rFonts w:ascii="Arial" w:hAnsi="Arial"/>
          <w:bCs/>
          <w:color w:val="000000"/>
          <w:sz w:val="22"/>
          <w:szCs w:val="28"/>
          <w:lang w:val="en-US"/>
        </w:rPr>
        <w:t>GRSS</w:t>
      </w:r>
      <w:r w:rsidRPr="00F91918">
        <w:rPr>
          <w:rFonts w:ascii="Arial" w:hAnsi="Arial"/>
          <w:bCs/>
          <w:color w:val="000000"/>
          <w:sz w:val="22"/>
          <w:szCs w:val="28"/>
          <w:lang w:val="en-US"/>
        </w:rPr>
        <w:t xml:space="preserve"> budget. </w:t>
      </w:r>
      <w:r w:rsidRPr="00F91918">
        <w:rPr>
          <w:rFonts w:ascii="Arial" w:hAnsi="Arial"/>
          <w:color w:val="000000"/>
          <w:sz w:val="22"/>
          <w:szCs w:val="28"/>
          <w:lang w:val="en-US"/>
        </w:rPr>
        <w:t>The society's budget includes the amount for this award AND the Society budget is net positive with the inclusion of the award.</w:t>
      </w:r>
    </w:p>
    <w:p w14:paraId="059F63A5" w14:textId="77777777" w:rsidR="004464DC" w:rsidRPr="00F91918" w:rsidRDefault="004464DC" w:rsidP="004464DC">
      <w:pPr>
        <w:spacing w:after="120"/>
        <w:rPr>
          <w:rFonts w:ascii="Arial" w:hAnsi="Arial"/>
          <w:color w:val="000000"/>
          <w:sz w:val="22"/>
          <w:lang w:val="en-US"/>
        </w:rPr>
      </w:pPr>
      <w:r w:rsidRPr="00F91918">
        <w:rPr>
          <w:rFonts w:ascii="Arial" w:hAnsi="Arial"/>
          <w:b/>
          <w:color w:val="000000"/>
          <w:sz w:val="22"/>
          <w:lang w:val="en-US"/>
        </w:rPr>
        <w:t>Nominee Solicitation:</w:t>
      </w:r>
      <w:r w:rsidRPr="00F91918">
        <w:rPr>
          <w:rFonts w:ascii="Arial" w:hAnsi="Arial"/>
          <w:color w:val="000000"/>
          <w:sz w:val="22"/>
          <w:lang w:val="en-US"/>
        </w:rPr>
        <w:t xml:space="preserve"> The Student Prize Paper Award is announced in the Call for Papers for each Symposium, and such papers entered must be so noted. To be considered for the </w:t>
      </w:r>
      <w:r w:rsidR="00F70422">
        <w:rPr>
          <w:rFonts w:ascii="Arial" w:hAnsi="Arial"/>
          <w:color w:val="000000"/>
          <w:sz w:val="22"/>
          <w:lang w:val="en-US"/>
        </w:rPr>
        <w:t>GRSS</w:t>
      </w:r>
      <w:r w:rsidRPr="00F91918">
        <w:rPr>
          <w:rFonts w:ascii="Arial" w:hAnsi="Arial"/>
          <w:color w:val="000000"/>
          <w:sz w:val="22"/>
          <w:lang w:val="en-US"/>
        </w:rPr>
        <w:t xml:space="preserve"> Student Prize Paper Award, the author must submit at the outset in addition to a one-page abstract marked "Student Paper," a more descriptive, condensed paper not exceeding four (4) pages to enable the Award judges to select the Finalist Papers. These papers will be evaluated by the Symposium Technical Program Committee (TPC). Those Student Papers accepted for presentation will be identified and forwarded to the Society Awards Committee Chair.</w:t>
      </w:r>
      <w:r w:rsidRPr="00F91918">
        <w:rPr>
          <w:rFonts w:ascii="Arial" w:hAnsi="Arial"/>
          <w:b/>
          <w:color w:val="000000"/>
          <w:sz w:val="22"/>
          <w:lang w:val="en-US"/>
        </w:rPr>
        <w:t xml:space="preserve"> </w:t>
      </w:r>
    </w:p>
    <w:p w14:paraId="4EBE6BE9" w14:textId="77777777" w:rsidR="004464DC" w:rsidRPr="00F91918" w:rsidRDefault="004464DC" w:rsidP="004464DC">
      <w:pPr>
        <w:spacing w:after="120"/>
        <w:rPr>
          <w:rFonts w:ascii="Arial" w:hAnsi="Arial"/>
          <w:color w:val="000000"/>
          <w:sz w:val="22"/>
          <w:lang w:val="en-US"/>
        </w:rPr>
      </w:pPr>
      <w:r w:rsidRPr="00F91918">
        <w:rPr>
          <w:rFonts w:ascii="Arial" w:hAnsi="Arial"/>
          <w:b/>
          <w:color w:val="000000"/>
          <w:sz w:val="22"/>
          <w:lang w:val="en-US"/>
        </w:rPr>
        <w:t>StPPA Awards Subcommittee:</w:t>
      </w:r>
      <w:r w:rsidRPr="00F91918">
        <w:rPr>
          <w:rFonts w:ascii="Arial" w:hAnsi="Arial"/>
          <w:color w:val="000000"/>
          <w:sz w:val="22"/>
          <w:lang w:val="en-US"/>
        </w:rPr>
        <w:t xml:space="preserve"> A Subcommittee with no fewer than three members of </w:t>
      </w:r>
      <w:r w:rsidR="00F70422">
        <w:rPr>
          <w:rFonts w:ascii="Arial" w:hAnsi="Arial"/>
          <w:color w:val="000000"/>
          <w:sz w:val="22"/>
          <w:lang w:val="en-US"/>
        </w:rPr>
        <w:t>GRSS</w:t>
      </w:r>
      <w:r w:rsidRPr="00F91918">
        <w:rPr>
          <w:rFonts w:ascii="Arial" w:hAnsi="Arial"/>
          <w:color w:val="000000"/>
          <w:sz w:val="22"/>
          <w:lang w:val="en-US"/>
        </w:rPr>
        <w:t xml:space="preserve">, two of whom must be members of the </w:t>
      </w:r>
      <w:r w:rsidR="00F70422">
        <w:rPr>
          <w:rFonts w:ascii="Arial" w:hAnsi="Arial"/>
          <w:color w:val="000000"/>
          <w:sz w:val="22"/>
          <w:lang w:val="en-US"/>
        </w:rPr>
        <w:t>GRSS</w:t>
      </w:r>
      <w:r w:rsidRPr="00F91918">
        <w:rPr>
          <w:rFonts w:ascii="Arial" w:hAnsi="Arial"/>
          <w:color w:val="000000"/>
          <w:sz w:val="22"/>
          <w:lang w:val="en-US"/>
        </w:rPr>
        <w:t xml:space="preserve"> Administrative Committee, shall be appointed by the </w:t>
      </w:r>
      <w:r w:rsidR="00F70422">
        <w:rPr>
          <w:rFonts w:ascii="Arial" w:hAnsi="Arial"/>
          <w:color w:val="000000"/>
          <w:sz w:val="22"/>
          <w:lang w:val="en-US"/>
        </w:rPr>
        <w:t>GRSS</w:t>
      </w:r>
      <w:r w:rsidRPr="00F91918">
        <w:rPr>
          <w:rFonts w:ascii="Arial" w:hAnsi="Arial"/>
          <w:color w:val="000000"/>
          <w:sz w:val="22"/>
          <w:lang w:val="en-US"/>
        </w:rPr>
        <w:t xml:space="preserve"> Awards Committee Chair to serve for each IGARSS. The Subcommittee will evaluate all Student Papers selected by the TPC for presentation at IGARSS, and the Subcommittee will identify to the TPC no more than the top eight papers as the finalists. The Subcommittee will seek verification of the eligibility of the authors.</w:t>
      </w:r>
    </w:p>
    <w:p w14:paraId="7A3EA19B" w14:textId="77777777" w:rsidR="004464DC" w:rsidRPr="00F91918" w:rsidRDefault="004464DC" w:rsidP="004464DC">
      <w:pPr>
        <w:spacing w:after="120"/>
        <w:rPr>
          <w:rFonts w:ascii="Arial" w:hAnsi="Arial"/>
          <w:color w:val="000000"/>
          <w:sz w:val="22"/>
          <w:lang w:val="en-US"/>
        </w:rPr>
      </w:pPr>
      <w:r w:rsidRPr="00F91918">
        <w:rPr>
          <w:rFonts w:ascii="Arial" w:hAnsi="Arial"/>
          <w:color w:val="000000"/>
          <w:sz w:val="22"/>
          <w:lang w:val="en-US"/>
        </w:rPr>
        <w:t xml:space="preserve">During IGARSS, the Subcommittee will judge and score the paper published in the Digest, and its presentation. The Subcommittee will meet as a whole, discuss the presentations and Digest papers, and rank order all finalists. The Subcommittee will </w:t>
      </w:r>
      <w:r w:rsidRPr="00F91918">
        <w:rPr>
          <w:rFonts w:ascii="Arial" w:hAnsi="Arial"/>
          <w:color w:val="000000"/>
          <w:sz w:val="22"/>
          <w:lang w:val="en-US"/>
        </w:rPr>
        <w:lastRenderedPageBreak/>
        <w:t>recommend the First, Second, and Third Prize Papers to the Awards Committee Chairman for approval.</w:t>
      </w:r>
    </w:p>
    <w:p w14:paraId="4FCAC0F4" w14:textId="77777777" w:rsidR="004464DC" w:rsidRPr="00F91918" w:rsidRDefault="004464DC" w:rsidP="004464DC">
      <w:pPr>
        <w:spacing w:after="120"/>
        <w:rPr>
          <w:rFonts w:ascii="Arial" w:hAnsi="Arial"/>
          <w:color w:val="000000"/>
          <w:sz w:val="22"/>
          <w:lang w:val="en-US"/>
        </w:rPr>
      </w:pPr>
      <w:r w:rsidRPr="00F91918">
        <w:rPr>
          <w:rFonts w:ascii="Arial" w:hAnsi="Arial"/>
          <w:b/>
          <w:color w:val="000000"/>
          <w:sz w:val="22"/>
          <w:lang w:val="en-US"/>
        </w:rPr>
        <w:t>Schedule:</w:t>
      </w:r>
      <w:r w:rsidRPr="00F91918">
        <w:rPr>
          <w:rFonts w:ascii="Arial" w:hAnsi="Arial"/>
          <w:color w:val="000000"/>
          <w:sz w:val="22"/>
          <w:lang w:val="en-US"/>
        </w:rPr>
        <w:t xml:space="preserve"> Approximately five months prior to the Symposium date, the TPC with the support of the Awards Chair will select the papers for presentation and identify those accepted as Student Papers. These papers will be scheduled by the TPC for oral presentation in regular technical sessions, prior to the IGARSS Banquet, usually held on Wednesday. At the option of the author(s) these papers may also be presented in the Interactive (poster) Session.</w:t>
      </w:r>
    </w:p>
    <w:p w14:paraId="30591E0B" w14:textId="77777777" w:rsidR="004464DC" w:rsidRPr="00F91918" w:rsidRDefault="004464DC" w:rsidP="004464DC">
      <w:pPr>
        <w:spacing w:after="120"/>
        <w:rPr>
          <w:rFonts w:ascii="Arial" w:hAnsi="Arial"/>
          <w:color w:val="000000"/>
          <w:sz w:val="22"/>
          <w:lang w:val="en-US"/>
        </w:rPr>
      </w:pPr>
      <w:r w:rsidRPr="00F91918">
        <w:rPr>
          <w:rFonts w:ascii="Arial" w:hAnsi="Arial"/>
          <w:color w:val="000000"/>
          <w:sz w:val="22"/>
          <w:lang w:val="en-US"/>
        </w:rPr>
        <w:t xml:space="preserve">The authors of these papers shall be informed by the Awards Committee Chair that the paper must be presented personally, and that the winner(s) must be present at the Banquet when announced. The Awards Committee Chair with the approval of the President of </w:t>
      </w:r>
      <w:r w:rsidR="00F70422">
        <w:rPr>
          <w:rFonts w:ascii="Arial" w:hAnsi="Arial"/>
          <w:color w:val="000000"/>
          <w:sz w:val="22"/>
          <w:lang w:val="en-US"/>
        </w:rPr>
        <w:t>GRSS</w:t>
      </w:r>
      <w:r w:rsidRPr="00F91918">
        <w:rPr>
          <w:rFonts w:ascii="Arial" w:hAnsi="Arial"/>
          <w:color w:val="000000"/>
          <w:sz w:val="22"/>
          <w:lang w:val="en-US"/>
        </w:rPr>
        <w:t xml:space="preserve"> shall inform the Award winner(s).</w:t>
      </w:r>
    </w:p>
    <w:p w14:paraId="65E257D2" w14:textId="77777777" w:rsidR="004464DC" w:rsidRPr="00F91918" w:rsidRDefault="004464DC" w:rsidP="004464DC">
      <w:pPr>
        <w:spacing w:after="120"/>
        <w:rPr>
          <w:rFonts w:ascii="Arial" w:hAnsi="Arial"/>
          <w:color w:val="000000"/>
          <w:sz w:val="22"/>
          <w:lang w:val="en-US"/>
        </w:rPr>
      </w:pPr>
      <w:r w:rsidRPr="00F91918">
        <w:rPr>
          <w:rFonts w:ascii="Arial" w:hAnsi="Arial"/>
          <w:b/>
          <w:color w:val="000000"/>
          <w:sz w:val="22"/>
          <w:lang w:val="en-US"/>
        </w:rPr>
        <w:t>Selection:</w:t>
      </w:r>
      <w:r w:rsidRPr="00F91918">
        <w:rPr>
          <w:rFonts w:ascii="Arial" w:hAnsi="Arial"/>
          <w:color w:val="000000"/>
          <w:sz w:val="22"/>
          <w:lang w:val="en-US"/>
        </w:rPr>
        <w:t xml:space="preserve"> The selection factors considered include: significance, innovation, quality of presentation, and quality of the paper in the Digest. The scoring method shall be established by the Subcommittee.</w:t>
      </w:r>
    </w:p>
    <w:p w14:paraId="37500C99" w14:textId="77777777" w:rsidR="004464DC" w:rsidRPr="00F91918" w:rsidRDefault="004464DC" w:rsidP="004464DC">
      <w:pPr>
        <w:spacing w:after="120"/>
        <w:rPr>
          <w:rFonts w:ascii="Arial" w:hAnsi="Arial"/>
          <w:color w:val="000000"/>
          <w:sz w:val="22"/>
          <w:lang w:val="en-US"/>
        </w:rPr>
      </w:pPr>
      <w:r w:rsidRPr="00F91918">
        <w:rPr>
          <w:rFonts w:ascii="Arial" w:hAnsi="Arial"/>
          <w:b/>
          <w:color w:val="000000"/>
          <w:sz w:val="22"/>
          <w:lang w:val="en-US"/>
        </w:rPr>
        <w:t>Presentation:</w:t>
      </w:r>
      <w:r w:rsidRPr="00F91918">
        <w:rPr>
          <w:rFonts w:ascii="Arial" w:hAnsi="Arial"/>
          <w:color w:val="000000"/>
          <w:sz w:val="22"/>
          <w:lang w:val="en-US"/>
        </w:rPr>
        <w:t xml:space="preserve"> The award shall be presented at an awards ceremony during IGARSS. The checks will be mailed after clarifying the tax items.</w:t>
      </w:r>
    </w:p>
    <w:p w14:paraId="15002659" w14:textId="77777777" w:rsidR="004464DC" w:rsidRPr="00F91918" w:rsidRDefault="004464DC" w:rsidP="004464DC">
      <w:pPr>
        <w:tabs>
          <w:tab w:val="left" w:pos="580"/>
        </w:tabs>
        <w:spacing w:after="120"/>
        <w:rPr>
          <w:rFonts w:ascii="Arial" w:hAnsi="Arial"/>
          <w:color w:val="000000"/>
          <w:sz w:val="22"/>
          <w:lang w:val="en-US"/>
        </w:rPr>
      </w:pPr>
      <w:r w:rsidRPr="00F91918">
        <w:rPr>
          <w:rFonts w:ascii="Arial" w:hAnsi="Arial"/>
          <w:b/>
          <w:color w:val="000000"/>
          <w:sz w:val="22"/>
          <w:lang w:val="en-US"/>
        </w:rPr>
        <w:t>Publicity:</w:t>
      </w:r>
      <w:r w:rsidRPr="00F91918">
        <w:rPr>
          <w:rFonts w:ascii="Arial" w:hAnsi="Arial"/>
          <w:color w:val="000000"/>
          <w:sz w:val="22"/>
          <w:lang w:val="en-US"/>
        </w:rPr>
        <w:t xml:space="preserve"> A feature publication will be published in the IEEE TRANSACTIONS ON GEOSCIENCE AND REMOTE SENSING and/or in the </w:t>
      </w:r>
      <w:r w:rsidR="007749C1">
        <w:rPr>
          <w:rFonts w:ascii="Arial" w:hAnsi="Arial"/>
          <w:color w:val="000000"/>
          <w:sz w:val="22"/>
          <w:lang w:val="en-US"/>
        </w:rPr>
        <w:t>GRS</w:t>
      </w:r>
      <w:r w:rsidRPr="00F91918">
        <w:rPr>
          <w:rFonts w:ascii="Arial" w:hAnsi="Arial"/>
          <w:color w:val="000000"/>
          <w:sz w:val="22"/>
          <w:lang w:val="en-US"/>
        </w:rPr>
        <w:t xml:space="preserve"> </w:t>
      </w:r>
      <w:r w:rsidR="007749C1">
        <w:rPr>
          <w:rFonts w:ascii="Arial" w:hAnsi="Arial"/>
          <w:color w:val="000000"/>
          <w:sz w:val="22"/>
          <w:lang w:val="en-US"/>
        </w:rPr>
        <w:t>Magazine</w:t>
      </w:r>
      <w:r w:rsidRPr="00F91918">
        <w:rPr>
          <w:rFonts w:ascii="Arial" w:hAnsi="Arial"/>
          <w:color w:val="000000"/>
          <w:sz w:val="22"/>
          <w:lang w:val="en-US"/>
        </w:rPr>
        <w:t>.</w:t>
      </w:r>
    </w:p>
    <w:p w14:paraId="41CBD2DD" w14:textId="77777777" w:rsidR="004464DC" w:rsidRPr="00282DC8" w:rsidRDefault="004464DC" w:rsidP="004464DC">
      <w:pPr>
        <w:pStyle w:val="Awards"/>
        <w:tabs>
          <w:tab w:val="left" w:pos="1701"/>
        </w:tabs>
        <w:ind w:left="1701" w:hanging="1417"/>
        <w:rPr>
          <w:rFonts w:ascii="Arial" w:hAnsi="Arial"/>
        </w:rPr>
      </w:pPr>
    </w:p>
    <w:sectPr w:rsidR="004464DC" w:rsidRPr="00282DC8">
      <w:headerReference w:type="default" r:id="rId7"/>
      <w:pgSz w:w="10801" w:h="16840"/>
      <w:pgMar w:top="1418" w:right="1134"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FFE15" w14:textId="77777777" w:rsidR="003F3D17" w:rsidRDefault="003F3D17">
      <w:r>
        <w:separator/>
      </w:r>
    </w:p>
  </w:endnote>
  <w:endnote w:type="continuationSeparator" w:id="0">
    <w:p w14:paraId="07D5B3CB" w14:textId="77777777" w:rsidR="003F3D17" w:rsidRDefault="003F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Bookman">
    <w:altName w:val="Bookman Old Styl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D5C01" w14:textId="77777777" w:rsidR="003F3D17" w:rsidRDefault="003F3D17">
      <w:r>
        <w:separator/>
      </w:r>
    </w:p>
  </w:footnote>
  <w:footnote w:type="continuationSeparator" w:id="0">
    <w:p w14:paraId="3DADC70D" w14:textId="77777777" w:rsidR="003F3D17" w:rsidRDefault="003F3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3E55F" w14:textId="45FA49CA" w:rsidR="004464DC" w:rsidRPr="000C7D86" w:rsidRDefault="004464DC" w:rsidP="004464DC">
    <w:pPr>
      <w:tabs>
        <w:tab w:val="left" w:pos="8080"/>
      </w:tabs>
      <w:rPr>
        <w:rFonts w:ascii="Arial" w:hAnsi="Arial"/>
        <w:lang w:val="en-US"/>
      </w:rPr>
    </w:pPr>
    <w:r w:rsidRPr="000C7D86">
      <w:rPr>
        <w:rFonts w:ascii="Times New Roman" w:hAnsi="Times New Roman"/>
        <w:sz w:val="20"/>
        <w:lang w:val="en-US"/>
      </w:rPr>
      <w:t>October 5, 1997, rev. Aug. 25. 2004; rev. Feb. 2010, rev. June 2010</w:t>
    </w:r>
    <w:r w:rsidR="00287DFA">
      <w:rPr>
        <w:rFonts w:ascii="Times New Roman" w:hAnsi="Times New Roman"/>
        <w:sz w:val="20"/>
        <w:lang w:val="en-US"/>
      </w:rPr>
      <w:t>; update Nov. 2013</w:t>
    </w:r>
    <w:r w:rsidRPr="000C7D86">
      <w:rPr>
        <w:rFonts w:ascii="Arial" w:hAnsi="Arial"/>
        <w:lang w:val="en-US"/>
      </w:rPr>
      <w:tab/>
    </w:r>
    <w:r w:rsidRPr="000C7D86">
      <w:rPr>
        <w:rStyle w:val="PageNumber"/>
      </w:rPr>
      <w:fldChar w:fldCharType="begin"/>
    </w:r>
    <w:r w:rsidRPr="000C7D86">
      <w:rPr>
        <w:rStyle w:val="PageNumber"/>
        <w:rFonts w:ascii="Arial" w:hAnsi="Arial"/>
      </w:rPr>
      <w:instrText xml:space="preserve"> </w:instrText>
    </w:r>
    <w:r w:rsidR="00F0416B">
      <w:rPr>
        <w:rStyle w:val="PageNumber"/>
        <w:rFonts w:ascii="Arial" w:hAnsi="Arial"/>
      </w:rPr>
      <w:instrText>PAGE</w:instrText>
    </w:r>
    <w:r w:rsidRPr="000C7D86">
      <w:rPr>
        <w:rStyle w:val="PageNumber"/>
        <w:rFonts w:ascii="Arial" w:hAnsi="Arial"/>
      </w:rPr>
      <w:instrText xml:space="preserve"> </w:instrText>
    </w:r>
    <w:r w:rsidRPr="000C7D86">
      <w:rPr>
        <w:rStyle w:val="PageNumber"/>
        <w:rFonts w:ascii="Arial" w:hAnsi="Arial"/>
      </w:rPr>
      <w:fldChar w:fldCharType="separate"/>
    </w:r>
    <w:r w:rsidR="00164620">
      <w:rPr>
        <w:rStyle w:val="PageNumber"/>
        <w:rFonts w:ascii="Arial" w:hAnsi="Arial"/>
        <w:noProof/>
      </w:rPr>
      <w:t>2</w:t>
    </w:r>
    <w:r w:rsidRPr="000C7D86">
      <w:rPr>
        <w:rStyle w:val="PageNumber"/>
        <w:rFonts w:ascii="Arial" w:hAnsi="Arial"/>
      </w:rPr>
      <w:fldChar w:fldCharType="end"/>
    </w:r>
  </w:p>
  <w:p w14:paraId="57C35955" w14:textId="77777777" w:rsidR="004464DC" w:rsidRDefault="00446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44FE2"/>
    <w:multiLevelType w:val="hybridMultilevel"/>
    <w:tmpl w:val="B43E32DA"/>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
    <w:nsid w:val="16EC12CD"/>
    <w:multiLevelType w:val="hybridMultilevel"/>
    <w:tmpl w:val="B110422E"/>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2C127803"/>
    <w:multiLevelType w:val="multilevel"/>
    <w:tmpl w:val="B4FCA126"/>
    <w:lvl w:ilvl="0">
      <w:start w:val="1"/>
      <w:numFmt w:val="lowerLetter"/>
      <w:lvlText w:val="%1)"/>
      <w:lvlJc w:val="left"/>
      <w:pPr>
        <w:tabs>
          <w:tab w:val="num" w:pos="1480"/>
        </w:tabs>
        <w:ind w:left="1480" w:hanging="360"/>
      </w:pPr>
      <w:rPr>
        <w:rFonts w:hint="default"/>
      </w:r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3">
    <w:nsid w:val="2F771EB8"/>
    <w:multiLevelType w:val="hybridMultilevel"/>
    <w:tmpl w:val="37704A7A"/>
    <w:lvl w:ilvl="0" w:tplc="41EA4EA4">
      <w:start w:val="1"/>
      <w:numFmt w:val="lowerLetter"/>
      <w:lvlText w:val="%1)"/>
      <w:lvlJc w:val="left"/>
      <w:pPr>
        <w:tabs>
          <w:tab w:val="num" w:pos="920"/>
        </w:tabs>
        <w:ind w:left="920" w:hanging="360"/>
      </w:pPr>
      <w:rPr>
        <w:rFonts w:hint="default"/>
      </w:rPr>
    </w:lvl>
    <w:lvl w:ilvl="1" w:tplc="00190407" w:tentative="1">
      <w:start w:val="1"/>
      <w:numFmt w:val="lowerLetter"/>
      <w:lvlText w:val="%2."/>
      <w:lvlJc w:val="left"/>
      <w:pPr>
        <w:tabs>
          <w:tab w:val="num" w:pos="1640"/>
        </w:tabs>
        <w:ind w:left="1640" w:hanging="360"/>
      </w:pPr>
    </w:lvl>
    <w:lvl w:ilvl="2" w:tplc="001B0407" w:tentative="1">
      <w:start w:val="1"/>
      <w:numFmt w:val="lowerRoman"/>
      <w:lvlText w:val="%3."/>
      <w:lvlJc w:val="right"/>
      <w:pPr>
        <w:tabs>
          <w:tab w:val="num" w:pos="2360"/>
        </w:tabs>
        <w:ind w:left="2360" w:hanging="180"/>
      </w:pPr>
    </w:lvl>
    <w:lvl w:ilvl="3" w:tplc="000F0407" w:tentative="1">
      <w:start w:val="1"/>
      <w:numFmt w:val="decimal"/>
      <w:lvlText w:val="%4."/>
      <w:lvlJc w:val="left"/>
      <w:pPr>
        <w:tabs>
          <w:tab w:val="num" w:pos="3080"/>
        </w:tabs>
        <w:ind w:left="3080" w:hanging="360"/>
      </w:pPr>
    </w:lvl>
    <w:lvl w:ilvl="4" w:tplc="00190407" w:tentative="1">
      <w:start w:val="1"/>
      <w:numFmt w:val="lowerLetter"/>
      <w:lvlText w:val="%5."/>
      <w:lvlJc w:val="left"/>
      <w:pPr>
        <w:tabs>
          <w:tab w:val="num" w:pos="3800"/>
        </w:tabs>
        <w:ind w:left="3800" w:hanging="360"/>
      </w:pPr>
    </w:lvl>
    <w:lvl w:ilvl="5" w:tplc="001B0407" w:tentative="1">
      <w:start w:val="1"/>
      <w:numFmt w:val="lowerRoman"/>
      <w:lvlText w:val="%6."/>
      <w:lvlJc w:val="right"/>
      <w:pPr>
        <w:tabs>
          <w:tab w:val="num" w:pos="4520"/>
        </w:tabs>
        <w:ind w:left="4520" w:hanging="180"/>
      </w:pPr>
    </w:lvl>
    <w:lvl w:ilvl="6" w:tplc="000F0407" w:tentative="1">
      <w:start w:val="1"/>
      <w:numFmt w:val="decimal"/>
      <w:lvlText w:val="%7."/>
      <w:lvlJc w:val="left"/>
      <w:pPr>
        <w:tabs>
          <w:tab w:val="num" w:pos="5240"/>
        </w:tabs>
        <w:ind w:left="5240" w:hanging="360"/>
      </w:pPr>
    </w:lvl>
    <w:lvl w:ilvl="7" w:tplc="00190407" w:tentative="1">
      <w:start w:val="1"/>
      <w:numFmt w:val="lowerLetter"/>
      <w:lvlText w:val="%8."/>
      <w:lvlJc w:val="left"/>
      <w:pPr>
        <w:tabs>
          <w:tab w:val="num" w:pos="5960"/>
        </w:tabs>
        <w:ind w:left="5960" w:hanging="360"/>
      </w:pPr>
    </w:lvl>
    <w:lvl w:ilvl="8" w:tplc="001B0407" w:tentative="1">
      <w:start w:val="1"/>
      <w:numFmt w:val="lowerRoman"/>
      <w:lvlText w:val="%9."/>
      <w:lvlJc w:val="right"/>
      <w:pPr>
        <w:tabs>
          <w:tab w:val="num" w:pos="6680"/>
        </w:tabs>
        <w:ind w:left="6680" w:hanging="180"/>
      </w:pPr>
    </w:lvl>
  </w:abstractNum>
  <w:abstractNum w:abstractNumId="4">
    <w:nsid w:val="59B36B07"/>
    <w:multiLevelType w:val="hybridMultilevel"/>
    <w:tmpl w:val="81BA5B2A"/>
    <w:lvl w:ilvl="0" w:tplc="41EA4EA4">
      <w:start w:val="1"/>
      <w:numFmt w:val="lowerLetter"/>
      <w:lvlText w:val="%1)"/>
      <w:lvlJc w:val="left"/>
      <w:pPr>
        <w:tabs>
          <w:tab w:val="num" w:pos="1480"/>
        </w:tabs>
        <w:ind w:left="1480" w:hanging="360"/>
      </w:pPr>
      <w:rPr>
        <w:rFonts w:hint="default"/>
      </w:rPr>
    </w:lvl>
    <w:lvl w:ilvl="1" w:tplc="00190407" w:tentative="1">
      <w:start w:val="1"/>
      <w:numFmt w:val="lowerLetter"/>
      <w:lvlText w:val="%2."/>
      <w:lvlJc w:val="left"/>
      <w:pPr>
        <w:tabs>
          <w:tab w:val="num" w:pos="2000"/>
        </w:tabs>
        <w:ind w:left="2000" w:hanging="360"/>
      </w:pPr>
    </w:lvl>
    <w:lvl w:ilvl="2" w:tplc="001B0407" w:tentative="1">
      <w:start w:val="1"/>
      <w:numFmt w:val="lowerRoman"/>
      <w:lvlText w:val="%3."/>
      <w:lvlJc w:val="right"/>
      <w:pPr>
        <w:tabs>
          <w:tab w:val="num" w:pos="2720"/>
        </w:tabs>
        <w:ind w:left="2720" w:hanging="180"/>
      </w:pPr>
    </w:lvl>
    <w:lvl w:ilvl="3" w:tplc="000F0407" w:tentative="1">
      <w:start w:val="1"/>
      <w:numFmt w:val="decimal"/>
      <w:lvlText w:val="%4."/>
      <w:lvlJc w:val="left"/>
      <w:pPr>
        <w:tabs>
          <w:tab w:val="num" w:pos="3440"/>
        </w:tabs>
        <w:ind w:left="3440" w:hanging="360"/>
      </w:pPr>
    </w:lvl>
    <w:lvl w:ilvl="4" w:tplc="00190407" w:tentative="1">
      <w:start w:val="1"/>
      <w:numFmt w:val="lowerLetter"/>
      <w:lvlText w:val="%5."/>
      <w:lvlJc w:val="left"/>
      <w:pPr>
        <w:tabs>
          <w:tab w:val="num" w:pos="4160"/>
        </w:tabs>
        <w:ind w:left="4160" w:hanging="360"/>
      </w:pPr>
    </w:lvl>
    <w:lvl w:ilvl="5" w:tplc="001B0407" w:tentative="1">
      <w:start w:val="1"/>
      <w:numFmt w:val="lowerRoman"/>
      <w:lvlText w:val="%6."/>
      <w:lvlJc w:val="right"/>
      <w:pPr>
        <w:tabs>
          <w:tab w:val="num" w:pos="4880"/>
        </w:tabs>
        <w:ind w:left="4880" w:hanging="180"/>
      </w:pPr>
    </w:lvl>
    <w:lvl w:ilvl="6" w:tplc="000F0407" w:tentative="1">
      <w:start w:val="1"/>
      <w:numFmt w:val="decimal"/>
      <w:lvlText w:val="%7."/>
      <w:lvlJc w:val="left"/>
      <w:pPr>
        <w:tabs>
          <w:tab w:val="num" w:pos="5600"/>
        </w:tabs>
        <w:ind w:left="5600" w:hanging="360"/>
      </w:pPr>
    </w:lvl>
    <w:lvl w:ilvl="7" w:tplc="00190407" w:tentative="1">
      <w:start w:val="1"/>
      <w:numFmt w:val="lowerLetter"/>
      <w:lvlText w:val="%8."/>
      <w:lvlJc w:val="left"/>
      <w:pPr>
        <w:tabs>
          <w:tab w:val="num" w:pos="6320"/>
        </w:tabs>
        <w:ind w:left="6320" w:hanging="360"/>
      </w:pPr>
    </w:lvl>
    <w:lvl w:ilvl="8" w:tplc="001B0407" w:tentative="1">
      <w:start w:val="1"/>
      <w:numFmt w:val="lowerRoman"/>
      <w:lvlText w:val="%9."/>
      <w:lvlJc w:val="right"/>
      <w:pPr>
        <w:tabs>
          <w:tab w:val="num" w:pos="7040"/>
        </w:tabs>
        <w:ind w:left="7040" w:hanging="180"/>
      </w:pPr>
    </w:lvl>
  </w:abstractNum>
  <w:abstractNum w:abstractNumId="5">
    <w:nsid w:val="65E07FA3"/>
    <w:multiLevelType w:val="hybridMultilevel"/>
    <w:tmpl w:val="7B2EFB4A"/>
    <w:lvl w:ilvl="0" w:tplc="C1885EF8">
      <w:start w:val="1"/>
      <w:numFmt w:val="decimal"/>
      <w:pStyle w:val="Toc"/>
      <w:lvlText w:val="%1)"/>
      <w:lvlJc w:val="left"/>
      <w:pPr>
        <w:tabs>
          <w:tab w:val="num" w:pos="840"/>
        </w:tabs>
        <w:ind w:left="840" w:hanging="360"/>
      </w:pPr>
      <w:rPr>
        <w:rFonts w:hint="default"/>
      </w:rPr>
    </w:lvl>
    <w:lvl w:ilvl="1" w:tplc="00030407" w:tentative="1">
      <w:start w:val="1"/>
      <w:numFmt w:val="lowerLetter"/>
      <w:lvlText w:val="%2."/>
      <w:lvlJc w:val="left"/>
      <w:pPr>
        <w:tabs>
          <w:tab w:val="num" w:pos="1560"/>
        </w:tabs>
        <w:ind w:left="1560" w:hanging="360"/>
      </w:pPr>
    </w:lvl>
    <w:lvl w:ilvl="2" w:tplc="00050407" w:tentative="1">
      <w:start w:val="1"/>
      <w:numFmt w:val="lowerRoman"/>
      <w:lvlText w:val="%3."/>
      <w:lvlJc w:val="right"/>
      <w:pPr>
        <w:tabs>
          <w:tab w:val="num" w:pos="2280"/>
        </w:tabs>
        <w:ind w:left="2280" w:hanging="180"/>
      </w:pPr>
    </w:lvl>
    <w:lvl w:ilvl="3" w:tplc="00010407" w:tentative="1">
      <w:start w:val="1"/>
      <w:numFmt w:val="decimal"/>
      <w:lvlText w:val="%4."/>
      <w:lvlJc w:val="left"/>
      <w:pPr>
        <w:tabs>
          <w:tab w:val="num" w:pos="3000"/>
        </w:tabs>
        <w:ind w:left="3000" w:hanging="360"/>
      </w:pPr>
    </w:lvl>
    <w:lvl w:ilvl="4" w:tplc="00030407" w:tentative="1">
      <w:start w:val="1"/>
      <w:numFmt w:val="lowerLetter"/>
      <w:lvlText w:val="%5."/>
      <w:lvlJc w:val="left"/>
      <w:pPr>
        <w:tabs>
          <w:tab w:val="num" w:pos="3720"/>
        </w:tabs>
        <w:ind w:left="3720" w:hanging="360"/>
      </w:pPr>
    </w:lvl>
    <w:lvl w:ilvl="5" w:tplc="00050407" w:tentative="1">
      <w:start w:val="1"/>
      <w:numFmt w:val="lowerRoman"/>
      <w:lvlText w:val="%6."/>
      <w:lvlJc w:val="right"/>
      <w:pPr>
        <w:tabs>
          <w:tab w:val="num" w:pos="4440"/>
        </w:tabs>
        <w:ind w:left="4440" w:hanging="180"/>
      </w:pPr>
    </w:lvl>
    <w:lvl w:ilvl="6" w:tplc="00010407" w:tentative="1">
      <w:start w:val="1"/>
      <w:numFmt w:val="decimal"/>
      <w:lvlText w:val="%7."/>
      <w:lvlJc w:val="left"/>
      <w:pPr>
        <w:tabs>
          <w:tab w:val="num" w:pos="5160"/>
        </w:tabs>
        <w:ind w:left="5160" w:hanging="360"/>
      </w:pPr>
    </w:lvl>
    <w:lvl w:ilvl="7" w:tplc="00030407" w:tentative="1">
      <w:start w:val="1"/>
      <w:numFmt w:val="lowerLetter"/>
      <w:lvlText w:val="%8."/>
      <w:lvlJc w:val="left"/>
      <w:pPr>
        <w:tabs>
          <w:tab w:val="num" w:pos="5880"/>
        </w:tabs>
        <w:ind w:left="5880" w:hanging="360"/>
      </w:pPr>
    </w:lvl>
    <w:lvl w:ilvl="8" w:tplc="00050407" w:tentative="1">
      <w:start w:val="1"/>
      <w:numFmt w:val="lowerRoman"/>
      <w:lvlText w:val="%9."/>
      <w:lvlJc w:val="right"/>
      <w:pPr>
        <w:tabs>
          <w:tab w:val="num" w:pos="6600"/>
        </w:tabs>
        <w:ind w:left="6600" w:hanging="180"/>
      </w:pPr>
    </w:lvl>
  </w:abstractNum>
  <w:abstractNum w:abstractNumId="6">
    <w:nsid w:val="68696160"/>
    <w:multiLevelType w:val="hybridMultilevel"/>
    <w:tmpl w:val="A9D4D57E"/>
    <w:lvl w:ilvl="0" w:tplc="00150407">
      <w:start w:val="1"/>
      <w:numFmt w:val="decimal"/>
      <w:lvlText w:val="%1."/>
      <w:lvlJc w:val="left"/>
      <w:pPr>
        <w:tabs>
          <w:tab w:val="num" w:pos="1480"/>
        </w:tabs>
        <w:ind w:left="1480" w:hanging="360"/>
      </w:pPr>
      <w:rPr>
        <w:rFonts w:hint="default"/>
      </w:rPr>
    </w:lvl>
    <w:lvl w:ilvl="1" w:tplc="00190407" w:tentative="1">
      <w:start w:val="1"/>
      <w:numFmt w:val="lowerLetter"/>
      <w:lvlText w:val="%2."/>
      <w:lvlJc w:val="left"/>
      <w:pPr>
        <w:tabs>
          <w:tab w:val="num" w:pos="2000"/>
        </w:tabs>
        <w:ind w:left="2000" w:hanging="360"/>
      </w:pPr>
    </w:lvl>
    <w:lvl w:ilvl="2" w:tplc="001B0407" w:tentative="1">
      <w:start w:val="1"/>
      <w:numFmt w:val="lowerRoman"/>
      <w:lvlText w:val="%3."/>
      <w:lvlJc w:val="right"/>
      <w:pPr>
        <w:tabs>
          <w:tab w:val="num" w:pos="2720"/>
        </w:tabs>
        <w:ind w:left="2720" w:hanging="180"/>
      </w:pPr>
    </w:lvl>
    <w:lvl w:ilvl="3" w:tplc="000F0407" w:tentative="1">
      <w:start w:val="1"/>
      <w:numFmt w:val="decimal"/>
      <w:lvlText w:val="%4."/>
      <w:lvlJc w:val="left"/>
      <w:pPr>
        <w:tabs>
          <w:tab w:val="num" w:pos="3440"/>
        </w:tabs>
        <w:ind w:left="3440" w:hanging="360"/>
      </w:pPr>
    </w:lvl>
    <w:lvl w:ilvl="4" w:tplc="00190407" w:tentative="1">
      <w:start w:val="1"/>
      <w:numFmt w:val="lowerLetter"/>
      <w:lvlText w:val="%5."/>
      <w:lvlJc w:val="left"/>
      <w:pPr>
        <w:tabs>
          <w:tab w:val="num" w:pos="4160"/>
        </w:tabs>
        <w:ind w:left="4160" w:hanging="360"/>
      </w:pPr>
    </w:lvl>
    <w:lvl w:ilvl="5" w:tplc="001B0407" w:tentative="1">
      <w:start w:val="1"/>
      <w:numFmt w:val="lowerRoman"/>
      <w:lvlText w:val="%6."/>
      <w:lvlJc w:val="right"/>
      <w:pPr>
        <w:tabs>
          <w:tab w:val="num" w:pos="4880"/>
        </w:tabs>
        <w:ind w:left="4880" w:hanging="180"/>
      </w:pPr>
    </w:lvl>
    <w:lvl w:ilvl="6" w:tplc="000F0407" w:tentative="1">
      <w:start w:val="1"/>
      <w:numFmt w:val="decimal"/>
      <w:lvlText w:val="%7."/>
      <w:lvlJc w:val="left"/>
      <w:pPr>
        <w:tabs>
          <w:tab w:val="num" w:pos="5600"/>
        </w:tabs>
        <w:ind w:left="5600" w:hanging="360"/>
      </w:pPr>
    </w:lvl>
    <w:lvl w:ilvl="7" w:tplc="00190407" w:tentative="1">
      <w:start w:val="1"/>
      <w:numFmt w:val="lowerLetter"/>
      <w:lvlText w:val="%8."/>
      <w:lvlJc w:val="left"/>
      <w:pPr>
        <w:tabs>
          <w:tab w:val="num" w:pos="6320"/>
        </w:tabs>
        <w:ind w:left="6320" w:hanging="360"/>
      </w:pPr>
    </w:lvl>
    <w:lvl w:ilvl="8" w:tplc="001B0407" w:tentative="1">
      <w:start w:val="1"/>
      <w:numFmt w:val="lowerRoman"/>
      <w:lvlText w:val="%9."/>
      <w:lvlJc w:val="right"/>
      <w:pPr>
        <w:tabs>
          <w:tab w:val="num" w:pos="7040"/>
        </w:tabs>
        <w:ind w:left="7040" w:hanging="180"/>
      </w:p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86"/>
    <w:rsid w:val="000C7D86"/>
    <w:rsid w:val="00164620"/>
    <w:rsid w:val="00287DFA"/>
    <w:rsid w:val="003F3D17"/>
    <w:rsid w:val="004464DC"/>
    <w:rsid w:val="0065013A"/>
    <w:rsid w:val="006A1550"/>
    <w:rsid w:val="007749C1"/>
    <w:rsid w:val="00821AE7"/>
    <w:rsid w:val="009F6CCA"/>
    <w:rsid w:val="00DE789D"/>
    <w:rsid w:val="00F0416B"/>
    <w:rsid w:val="00F7042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838D9B"/>
  <w14:defaultImageDpi w14:val="300"/>
  <w15:docId w15:val="{BD05629B-C49A-439A-BFFB-2665DBC4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Bookman" w:hAnsi="Book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NormalIndent">
    <w:name w:val="Normal Indent"/>
    <w:basedOn w:val="Normal"/>
    <w:pPr>
      <w:ind w:left="708"/>
    </w:pPr>
  </w:style>
  <w:style w:type="paragraph" w:styleId="Footer">
    <w:name w:val="footer"/>
    <w:basedOn w:val="Normal"/>
    <w:pPr>
      <w:tabs>
        <w:tab w:val="center" w:pos="4536"/>
        <w:tab w:val="right" w:pos="9072"/>
      </w:tabs>
    </w:pPr>
  </w:style>
  <w:style w:type="paragraph" w:customStyle="1" w:styleId="Awards">
    <w:name w:val="Awards"/>
    <w:basedOn w:val="Normal"/>
    <w:rsid w:val="000C7D86"/>
    <w:pPr>
      <w:widowControl/>
    </w:pPr>
  </w:style>
  <w:style w:type="character" w:styleId="PageNumber">
    <w:name w:val="page number"/>
    <w:basedOn w:val="DefaultParagraphFont"/>
    <w:rsid w:val="000C7D86"/>
  </w:style>
  <w:style w:type="paragraph" w:customStyle="1" w:styleId="Toc">
    <w:name w:val="Toc"/>
    <w:basedOn w:val="Normal"/>
    <w:rsid w:val="00F91918"/>
    <w:pPr>
      <w:widowControl/>
      <w:numPr>
        <w:numId w:val="7"/>
      </w:numPr>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October 5, 1997</vt:lpstr>
      <vt:lpstr>October 5, 1997</vt:lpstr>
    </vt:vector>
  </TitlesOfParts>
  <Company>Universität Karlsruhe (TH)</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1997</dc:title>
  <dc:subject/>
  <dc:creator>IHE</dc:creator>
  <cp:keywords/>
  <cp:lastModifiedBy>Steven Reising</cp:lastModifiedBy>
  <cp:revision>7</cp:revision>
  <cp:lastPrinted>1997-11-24T18:12:00Z</cp:lastPrinted>
  <dcterms:created xsi:type="dcterms:W3CDTF">2013-11-10T16:58:00Z</dcterms:created>
  <dcterms:modified xsi:type="dcterms:W3CDTF">2013-11-18T18:19:00Z</dcterms:modified>
</cp:coreProperties>
</file>