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F443C" w14:textId="77777777" w:rsidR="006D109E" w:rsidRPr="0007314A" w:rsidRDefault="006D109E" w:rsidP="006D109E">
      <w:pPr>
        <w:spacing w:before="60"/>
        <w:jc w:val="center"/>
        <w:rPr>
          <w:rFonts w:ascii="Arial" w:hAnsi="Arial"/>
          <w:b/>
          <w:sz w:val="32"/>
          <w:szCs w:val="28"/>
        </w:rPr>
      </w:pPr>
      <w:r w:rsidRPr="0007314A">
        <w:rPr>
          <w:rFonts w:ascii="Arial" w:hAnsi="Arial"/>
          <w:b/>
          <w:sz w:val="32"/>
          <w:szCs w:val="28"/>
        </w:rPr>
        <w:t>Mikio Takagi Student Prize</w:t>
      </w:r>
    </w:p>
    <w:p w14:paraId="635992AD" w14:textId="77777777" w:rsidR="006D109E" w:rsidRPr="0007314A" w:rsidRDefault="006D109E" w:rsidP="006D109E">
      <w:pPr>
        <w:spacing w:before="60"/>
        <w:rPr>
          <w:rFonts w:ascii="Arial" w:hAnsi="Arial"/>
        </w:rPr>
      </w:pPr>
    </w:p>
    <w:p w14:paraId="7E5CF1BA" w14:textId="77777777" w:rsidR="006D109E" w:rsidRPr="003904F5" w:rsidRDefault="006D109E" w:rsidP="006D109E">
      <w:pPr>
        <w:spacing w:before="60"/>
        <w:jc w:val="both"/>
        <w:rPr>
          <w:rFonts w:ascii="Arial" w:hAnsi="Arial"/>
          <w:color w:val="000000"/>
          <w:sz w:val="22"/>
        </w:rPr>
      </w:pPr>
      <w:r w:rsidRPr="0007314A">
        <w:rPr>
          <w:rFonts w:ascii="Arial" w:hAnsi="Arial"/>
          <w:b/>
          <w:sz w:val="22"/>
        </w:rPr>
        <w:t>Description:</w:t>
      </w:r>
      <w:r w:rsidRPr="0007314A">
        <w:rPr>
          <w:rFonts w:ascii="Arial" w:hAnsi="Arial"/>
          <w:sz w:val="22"/>
        </w:rPr>
        <w:t xml:space="preserve"> The </w:t>
      </w:r>
      <w:r w:rsidRPr="0007314A">
        <w:rPr>
          <w:rFonts w:ascii="Arial" w:hAnsi="Arial"/>
          <w:sz w:val="22"/>
          <w:szCs w:val="28"/>
        </w:rPr>
        <w:t>Mikio Takagi Student Prize (MTStP)</w:t>
      </w:r>
      <w:r w:rsidRPr="0007314A">
        <w:rPr>
          <w:rFonts w:ascii="Arial" w:hAnsi="Arial"/>
          <w:sz w:val="22"/>
        </w:rPr>
        <w:t xml:space="preserve"> is to recognize a student who has presented an outstanding paper at the IEEE Geoscience and Remote Sensing Symposium </w:t>
      </w:r>
      <w:r w:rsidRPr="003904F5">
        <w:rPr>
          <w:rFonts w:ascii="Arial" w:hAnsi="Arial"/>
          <w:color w:val="000000"/>
          <w:sz w:val="22"/>
        </w:rPr>
        <w:t xml:space="preserve">(IGARSS). </w:t>
      </w:r>
      <w:r w:rsidRPr="003904F5">
        <w:rPr>
          <w:rFonts w:ascii="Arial" w:hAnsi="Arial" w:cs="Arial"/>
          <w:color w:val="000000"/>
          <w:sz w:val="22"/>
          <w:szCs w:val="32"/>
          <w:lang w:eastAsia="de-DE"/>
        </w:rPr>
        <w:t xml:space="preserve">Second sentence: The Mikio Takagi Student Prize is given to the first one of three top </w:t>
      </w:r>
      <w:r w:rsidR="00005643">
        <w:rPr>
          <w:rFonts w:ascii="Arial" w:hAnsi="Arial" w:cs="Arial"/>
          <w:color w:val="000000"/>
          <w:sz w:val="22"/>
          <w:szCs w:val="32"/>
          <w:lang w:eastAsia="de-DE"/>
        </w:rPr>
        <w:t>GRSS</w:t>
      </w:r>
      <w:r w:rsidRPr="003904F5">
        <w:rPr>
          <w:rFonts w:ascii="Arial" w:hAnsi="Arial" w:cs="Arial"/>
          <w:color w:val="000000"/>
          <w:sz w:val="22"/>
          <w:szCs w:val="32"/>
          <w:lang w:eastAsia="de-DE"/>
        </w:rPr>
        <w:t xml:space="preserve"> Student Prize Paper Awards</w:t>
      </w:r>
      <w:r w:rsidRPr="003904F5">
        <w:rPr>
          <w:rFonts w:ascii="Arial" w:hAnsi="Arial"/>
          <w:color w:val="000000"/>
          <w:sz w:val="22"/>
          <w:szCs w:val="28"/>
        </w:rPr>
        <w:t>.</w:t>
      </w:r>
    </w:p>
    <w:p w14:paraId="4EB26893" w14:textId="77777777" w:rsidR="006D109E" w:rsidRPr="0007314A" w:rsidRDefault="006D109E" w:rsidP="006D109E">
      <w:pPr>
        <w:spacing w:before="60"/>
        <w:jc w:val="both"/>
        <w:rPr>
          <w:rFonts w:ascii="Arial" w:hAnsi="Arial"/>
          <w:sz w:val="22"/>
        </w:rPr>
      </w:pPr>
      <w:r w:rsidRPr="003904F5">
        <w:rPr>
          <w:rFonts w:ascii="Arial" w:hAnsi="Arial"/>
          <w:b/>
          <w:sz w:val="22"/>
        </w:rPr>
        <w:t>Administration:</w:t>
      </w:r>
      <w:r w:rsidRPr="003904F5">
        <w:rPr>
          <w:rFonts w:ascii="Arial" w:hAnsi="Arial"/>
          <w:sz w:val="22"/>
        </w:rPr>
        <w:t xml:space="preserve"> The Prize will be administered by </w:t>
      </w:r>
      <w:r w:rsidR="00005643">
        <w:rPr>
          <w:rFonts w:ascii="Arial" w:hAnsi="Arial"/>
          <w:sz w:val="22"/>
        </w:rPr>
        <w:t>GRSS</w:t>
      </w:r>
      <w:r w:rsidRPr="003904F5">
        <w:rPr>
          <w:rFonts w:ascii="Arial" w:hAnsi="Arial"/>
          <w:sz w:val="22"/>
        </w:rPr>
        <w:t>, delegated to IGARSS, and further</w:t>
      </w:r>
      <w:r w:rsidRPr="0007314A">
        <w:rPr>
          <w:rFonts w:ascii="Arial" w:hAnsi="Arial"/>
          <w:sz w:val="22"/>
        </w:rPr>
        <w:t xml:space="preserve"> delegated to the IGARSS Student Paper Competition Committee (IGARSS SPCC). The name of the winner will be forwarded to the IEEE Foundation to receive the honorarium.</w:t>
      </w:r>
    </w:p>
    <w:p w14:paraId="2D62C0EC" w14:textId="717790EB" w:rsidR="006D109E" w:rsidRPr="004F5879" w:rsidRDefault="006D109E" w:rsidP="004F5879">
      <w:pPr>
        <w:pStyle w:val="Toc"/>
        <w:numPr>
          <w:ilvl w:val="0"/>
          <w:numId w:val="0"/>
        </w:numPr>
        <w:tabs>
          <w:tab w:val="num" w:pos="426"/>
        </w:tabs>
        <w:spacing w:after="80"/>
        <w:ind w:firstLine="11"/>
        <w:rPr>
          <w:iCs/>
          <w:color w:val="000000" w:themeColor="text1"/>
          <w:sz w:val="22"/>
          <w:szCs w:val="22"/>
        </w:rPr>
      </w:pPr>
      <w:r w:rsidRPr="0007314A">
        <w:rPr>
          <w:b/>
          <w:sz w:val="22"/>
        </w:rPr>
        <w:t>Eligibility:</w:t>
      </w:r>
      <w:r w:rsidRPr="0007314A">
        <w:rPr>
          <w:sz w:val="22"/>
        </w:rPr>
        <w:t xml:space="preserve"> The Prize recipient must be a student, be registered at the Symposium and have presented the paper. Further the criteria for the </w:t>
      </w:r>
      <w:r w:rsidR="00005643">
        <w:rPr>
          <w:sz w:val="22"/>
        </w:rPr>
        <w:t>GRSS</w:t>
      </w:r>
      <w:r w:rsidRPr="0007314A">
        <w:rPr>
          <w:sz w:val="22"/>
        </w:rPr>
        <w:t xml:space="preserve"> Student Prize Paper Award apply.</w:t>
      </w:r>
      <w:r w:rsidR="004F5879">
        <w:rPr>
          <w:sz w:val="22"/>
        </w:rPr>
        <w:t xml:space="preserve"> </w:t>
      </w:r>
      <w:r w:rsidR="004F5879" w:rsidRPr="00E26635">
        <w:rPr>
          <w:iCs/>
          <w:color w:val="000000" w:themeColor="text1"/>
          <w:sz w:val="22"/>
          <w:szCs w:val="22"/>
        </w:rPr>
        <w:t xml:space="preserve">Eligibility and the </w:t>
      </w:r>
      <w:bookmarkStart w:id="0" w:name="_GoBack"/>
      <w:r w:rsidR="004F5879" w:rsidRPr="00E26635">
        <w:rPr>
          <w:iCs/>
          <w:color w:val="000000" w:themeColor="text1"/>
          <w:sz w:val="22"/>
          <w:szCs w:val="22"/>
        </w:rPr>
        <w:t>selection process shall comply with procedures and regulation established in IEEE and Society governing documents, particularly with IEEE Policy 4.4 on Awards Limitations</w:t>
      </w:r>
      <w:r w:rsidR="004F5879" w:rsidRPr="00E26635">
        <w:rPr>
          <w:color w:val="000000" w:themeColor="text1"/>
          <w:sz w:val="22"/>
          <w:szCs w:val="22"/>
        </w:rPr>
        <w:t>.</w:t>
      </w:r>
      <w:bookmarkEnd w:id="0"/>
    </w:p>
    <w:p w14:paraId="408FD854" w14:textId="77777777" w:rsidR="006D109E" w:rsidRPr="0007314A" w:rsidRDefault="006D109E" w:rsidP="006D109E">
      <w:pPr>
        <w:spacing w:before="60"/>
        <w:rPr>
          <w:rFonts w:ascii="Arial" w:hAnsi="Arial"/>
          <w:sz w:val="22"/>
        </w:rPr>
      </w:pPr>
      <w:r w:rsidRPr="00F91918">
        <w:rPr>
          <w:rFonts w:ascii="Arial" w:hAnsi="Arial"/>
          <w:iCs/>
          <w:color w:val="000000"/>
          <w:sz w:val="22"/>
          <w:szCs w:val="28"/>
        </w:rPr>
        <w:t>Eligibility and Selection process shall comply with procedures and regulation established in IEEE and Society governing documents, particularly with IEEE Policy 4.4 on Awards Limitations</w:t>
      </w:r>
      <w:r w:rsidRPr="00F91918">
        <w:rPr>
          <w:rFonts w:ascii="Arial" w:hAnsi="Arial"/>
          <w:color w:val="000000"/>
          <w:sz w:val="22"/>
        </w:rPr>
        <w:t>.</w:t>
      </w:r>
    </w:p>
    <w:p w14:paraId="696AEA00" w14:textId="3BFE39EE" w:rsidR="006D109E" w:rsidRPr="0007314A" w:rsidRDefault="006D109E" w:rsidP="006D109E">
      <w:pPr>
        <w:spacing w:before="60"/>
        <w:jc w:val="both"/>
        <w:rPr>
          <w:rFonts w:ascii="Arial" w:hAnsi="Arial"/>
          <w:sz w:val="22"/>
        </w:rPr>
      </w:pPr>
      <w:r w:rsidRPr="0007314A">
        <w:rPr>
          <w:rFonts w:ascii="Arial" w:hAnsi="Arial"/>
          <w:b/>
          <w:sz w:val="22"/>
        </w:rPr>
        <w:t>Funds:</w:t>
      </w:r>
      <w:r w:rsidRPr="0007314A">
        <w:rPr>
          <w:rFonts w:ascii="Arial" w:hAnsi="Arial"/>
          <w:sz w:val="22"/>
        </w:rPr>
        <w:t xml:space="preserve"> The Prize fund is held by the IEEE Foundation. A fund of US$10,000 from the family and friends of Professor Mikio Takagi was originally deposited with the IEEE Founda</w:t>
      </w:r>
      <w:r w:rsidR="00B3675D">
        <w:rPr>
          <w:rFonts w:ascii="Arial" w:hAnsi="Arial"/>
          <w:sz w:val="22"/>
        </w:rPr>
        <w:t>tion. From this fund yearly US$</w:t>
      </w:r>
      <w:r w:rsidRPr="0007314A">
        <w:rPr>
          <w:rFonts w:ascii="Arial" w:hAnsi="Arial"/>
          <w:sz w:val="22"/>
        </w:rPr>
        <w:t xml:space="preserve">500 are contributed to the </w:t>
      </w:r>
      <w:r w:rsidRPr="0007314A">
        <w:rPr>
          <w:rFonts w:ascii="Arial" w:hAnsi="Arial"/>
          <w:sz w:val="22"/>
          <w:szCs w:val="28"/>
        </w:rPr>
        <w:t>Mikio Takagi Student Prize as long as the fund is ac</w:t>
      </w:r>
      <w:r w:rsidRPr="006060B3">
        <w:rPr>
          <w:rFonts w:ascii="Arial" w:hAnsi="Arial"/>
          <w:sz w:val="22"/>
          <w:szCs w:val="28"/>
        </w:rPr>
        <w:t xml:space="preserve">tive. </w:t>
      </w:r>
      <w:r w:rsidRPr="006060B3">
        <w:rPr>
          <w:rFonts w:ascii="Arial" w:hAnsi="Arial" w:cs="ArialMT"/>
          <w:sz w:val="22"/>
          <w:lang w:bidi="de-DE"/>
        </w:rPr>
        <w:t xml:space="preserve">The additional Prize, presently </w:t>
      </w:r>
      <w:r w:rsidR="00B3675D">
        <w:rPr>
          <w:rFonts w:ascii="Arial" w:hAnsi="Arial" w:cs="ArialMT"/>
          <w:sz w:val="22"/>
          <w:lang w:bidi="de-DE"/>
        </w:rPr>
        <w:t>US</w:t>
      </w:r>
      <w:r w:rsidRPr="006060B3">
        <w:rPr>
          <w:rFonts w:ascii="Arial" w:hAnsi="Arial" w:cs="ArialMT"/>
          <w:bCs/>
          <w:sz w:val="22"/>
          <w:lang w:bidi="de-DE"/>
        </w:rPr>
        <w:t>$500,</w:t>
      </w:r>
      <w:r w:rsidRPr="006060B3">
        <w:rPr>
          <w:rFonts w:ascii="Arial" w:hAnsi="Arial" w:cs="ArialMT"/>
          <w:b/>
          <w:bCs/>
          <w:sz w:val="22"/>
          <w:lang w:bidi="de-DE"/>
        </w:rPr>
        <w:t xml:space="preserve"> </w:t>
      </w:r>
      <w:r w:rsidRPr="006060B3">
        <w:rPr>
          <w:rFonts w:ascii="Arial" w:hAnsi="Arial" w:cs="ArialMT"/>
          <w:sz w:val="22"/>
          <w:lang w:bidi="de-DE"/>
        </w:rPr>
        <w:t xml:space="preserve">and cost are covered through the IEEE </w:t>
      </w:r>
      <w:r w:rsidR="00005643">
        <w:rPr>
          <w:rFonts w:ascii="Arial" w:hAnsi="Arial" w:cs="ArialMT"/>
          <w:sz w:val="22"/>
          <w:lang w:bidi="de-DE"/>
        </w:rPr>
        <w:t>GRSS</w:t>
      </w:r>
      <w:r w:rsidRPr="006060B3">
        <w:rPr>
          <w:rFonts w:ascii="Arial" w:hAnsi="Arial" w:cs="ArialMT"/>
          <w:sz w:val="22"/>
          <w:lang w:bidi="de-DE"/>
        </w:rPr>
        <w:t xml:space="preserve"> budget.</w:t>
      </w:r>
      <w:r w:rsidRPr="006060B3">
        <w:rPr>
          <w:rFonts w:ascii="Arial" w:hAnsi="Arial"/>
          <w:bCs/>
          <w:color w:val="000000"/>
          <w:sz w:val="22"/>
          <w:szCs w:val="28"/>
        </w:rPr>
        <w:t xml:space="preserve"> </w:t>
      </w:r>
      <w:r w:rsidRPr="006060B3">
        <w:rPr>
          <w:rFonts w:ascii="Arial" w:hAnsi="Arial"/>
          <w:color w:val="000000"/>
          <w:sz w:val="22"/>
          <w:szCs w:val="28"/>
        </w:rPr>
        <w:t>The soci</w:t>
      </w:r>
      <w:r w:rsidRPr="0007314A">
        <w:rPr>
          <w:rFonts w:ascii="Arial" w:hAnsi="Arial"/>
          <w:color w:val="000000"/>
          <w:sz w:val="22"/>
          <w:szCs w:val="28"/>
        </w:rPr>
        <w:t>ety's budget includes the amount for this award AND the Society budget is net positive with the inclusion of the award.</w:t>
      </w:r>
    </w:p>
    <w:p w14:paraId="459FF9E3" w14:textId="23013F72" w:rsidR="006D109E" w:rsidRPr="0007314A" w:rsidRDefault="006D109E" w:rsidP="006D109E">
      <w:pPr>
        <w:spacing w:before="60"/>
        <w:jc w:val="both"/>
        <w:rPr>
          <w:rFonts w:ascii="Arial" w:hAnsi="Arial"/>
          <w:sz w:val="22"/>
        </w:rPr>
      </w:pPr>
      <w:r w:rsidRPr="0007314A">
        <w:rPr>
          <w:rFonts w:ascii="Arial" w:hAnsi="Arial"/>
          <w:b/>
          <w:sz w:val="22"/>
        </w:rPr>
        <w:t>Prize Items:</w:t>
      </w:r>
      <w:r w:rsidRPr="0007314A">
        <w:rPr>
          <w:rFonts w:ascii="Arial" w:hAnsi="Arial"/>
          <w:sz w:val="22"/>
        </w:rPr>
        <w:t xml:space="preserve"> The student presenting an outstanding paper will receive a certificate and an honorarium of </w:t>
      </w:r>
      <w:r w:rsidR="00B3675D">
        <w:rPr>
          <w:rFonts w:ascii="Arial" w:hAnsi="Arial"/>
          <w:sz w:val="22"/>
        </w:rPr>
        <w:t>US</w:t>
      </w:r>
      <w:r w:rsidRPr="0007314A">
        <w:rPr>
          <w:rFonts w:ascii="Arial" w:hAnsi="Arial"/>
          <w:sz w:val="22"/>
        </w:rPr>
        <w:t>$</w:t>
      </w:r>
      <w:r w:rsidRPr="0007314A">
        <w:rPr>
          <w:rFonts w:ascii="Arial" w:hAnsi="Arial"/>
          <w:color w:val="000000"/>
          <w:sz w:val="22"/>
        </w:rPr>
        <w:t>1000.</w:t>
      </w:r>
      <w:r w:rsidRPr="0007314A">
        <w:rPr>
          <w:rFonts w:ascii="Arial" w:hAnsi="Arial"/>
          <w:sz w:val="22"/>
        </w:rPr>
        <w:t xml:space="preserve"> </w:t>
      </w:r>
    </w:p>
    <w:p w14:paraId="254244EB" w14:textId="77777777" w:rsidR="006D109E" w:rsidRPr="0007314A" w:rsidRDefault="006D109E" w:rsidP="006D109E">
      <w:pPr>
        <w:spacing w:before="60"/>
        <w:jc w:val="both"/>
        <w:rPr>
          <w:rFonts w:ascii="Arial" w:hAnsi="Arial"/>
          <w:sz w:val="22"/>
        </w:rPr>
      </w:pPr>
      <w:r w:rsidRPr="0007314A">
        <w:rPr>
          <w:rFonts w:ascii="Arial" w:hAnsi="Arial"/>
          <w:b/>
          <w:sz w:val="22"/>
        </w:rPr>
        <w:t>Nominee Solicitation:</w:t>
      </w:r>
      <w:r w:rsidRPr="0007314A">
        <w:rPr>
          <w:rFonts w:ascii="Arial" w:hAnsi="Arial"/>
          <w:sz w:val="22"/>
        </w:rPr>
        <w:t xml:space="preserve"> The availability of the MikioTakagi Student Prize will be announced each year by the IGARSS Committee.</w:t>
      </w:r>
    </w:p>
    <w:p w14:paraId="7A5AC1D6" w14:textId="77777777" w:rsidR="006D109E" w:rsidRPr="0007314A" w:rsidRDefault="006D109E" w:rsidP="006D109E">
      <w:pPr>
        <w:spacing w:before="60"/>
        <w:jc w:val="both"/>
        <w:rPr>
          <w:rFonts w:ascii="Arial" w:hAnsi="Arial"/>
          <w:sz w:val="22"/>
        </w:rPr>
      </w:pPr>
      <w:r w:rsidRPr="0007314A">
        <w:rPr>
          <w:rFonts w:ascii="Arial" w:hAnsi="Arial"/>
          <w:b/>
          <w:sz w:val="22"/>
        </w:rPr>
        <w:t>Award Committee:</w:t>
      </w:r>
      <w:r w:rsidRPr="0007314A">
        <w:rPr>
          <w:rFonts w:ascii="Arial" w:hAnsi="Arial"/>
          <w:sz w:val="22"/>
        </w:rPr>
        <w:t xml:space="preserve"> The IGARSS SPCC will evaluate and judge the papers selected by the Program Committee of IGARSS.  The First Place winner of the competition shall be the recipient of the Mikio Takagi Student Prize.</w:t>
      </w:r>
    </w:p>
    <w:p w14:paraId="06CB201D" w14:textId="77777777" w:rsidR="006D109E" w:rsidRPr="00F91918" w:rsidRDefault="006D109E" w:rsidP="006D109E">
      <w:pPr>
        <w:spacing w:before="60"/>
        <w:jc w:val="both"/>
        <w:rPr>
          <w:rFonts w:ascii="Arial" w:hAnsi="Arial"/>
          <w:color w:val="000000"/>
          <w:sz w:val="22"/>
        </w:rPr>
      </w:pPr>
      <w:r w:rsidRPr="00F91918">
        <w:rPr>
          <w:rFonts w:ascii="Arial" w:hAnsi="Arial"/>
          <w:b/>
          <w:color w:val="000000"/>
          <w:sz w:val="22"/>
        </w:rPr>
        <w:t>Schedule:</w:t>
      </w:r>
      <w:r w:rsidRPr="00F91918">
        <w:rPr>
          <w:rFonts w:ascii="Arial" w:hAnsi="Arial"/>
          <w:color w:val="000000"/>
          <w:sz w:val="22"/>
        </w:rPr>
        <w:t xml:space="preserve"> Approximately five months prior to the Symposium date, the TPC with the support of the Awards Chair will select the papers for presentation and identify those accepted as Student Papers. These papers will be scheduled by the TPC for oral presentation in regular technical sessions, prior to the IGARSS Banquet, usually held on Wednesday. At the option of the author(s) these papers may also be presented in the Interactive (poster) Session.</w:t>
      </w:r>
    </w:p>
    <w:p w14:paraId="399BA545" w14:textId="77777777" w:rsidR="006D109E" w:rsidRPr="00F91918" w:rsidRDefault="006D109E" w:rsidP="006D109E">
      <w:pPr>
        <w:spacing w:before="60"/>
        <w:jc w:val="both"/>
        <w:rPr>
          <w:rFonts w:ascii="Arial" w:hAnsi="Arial"/>
          <w:color w:val="000000"/>
          <w:sz w:val="22"/>
        </w:rPr>
      </w:pPr>
      <w:r w:rsidRPr="00F91918">
        <w:rPr>
          <w:rFonts w:ascii="Arial" w:hAnsi="Arial"/>
          <w:color w:val="000000"/>
          <w:sz w:val="22"/>
        </w:rPr>
        <w:t xml:space="preserve">The authors of these papers shall be informed by the Awards Committee Chair that the paper must be presented personally, and that the winner(s) must be present at the Banquet when announced. The Awards Committee Chair with the approval of the President of </w:t>
      </w:r>
      <w:r w:rsidR="00005643">
        <w:rPr>
          <w:rFonts w:ascii="Arial" w:hAnsi="Arial"/>
          <w:color w:val="000000"/>
          <w:sz w:val="22"/>
        </w:rPr>
        <w:t>GRSS</w:t>
      </w:r>
      <w:r w:rsidRPr="00F91918">
        <w:rPr>
          <w:rFonts w:ascii="Arial" w:hAnsi="Arial"/>
          <w:color w:val="000000"/>
          <w:sz w:val="22"/>
        </w:rPr>
        <w:t xml:space="preserve"> shall inform the Award winner(s).</w:t>
      </w:r>
    </w:p>
    <w:p w14:paraId="23200C67" w14:textId="77777777" w:rsidR="006D109E" w:rsidRPr="0007314A" w:rsidRDefault="006D109E" w:rsidP="006D109E">
      <w:pPr>
        <w:spacing w:before="60"/>
        <w:jc w:val="both"/>
        <w:rPr>
          <w:rFonts w:ascii="Arial" w:hAnsi="Arial"/>
          <w:sz w:val="22"/>
        </w:rPr>
      </w:pPr>
      <w:r w:rsidRPr="0007314A">
        <w:rPr>
          <w:rFonts w:ascii="Arial" w:hAnsi="Arial"/>
          <w:b/>
          <w:sz w:val="22"/>
        </w:rPr>
        <w:t>Selection/Basic for Judging:</w:t>
      </w:r>
      <w:r w:rsidRPr="0007314A">
        <w:rPr>
          <w:rFonts w:ascii="Arial" w:hAnsi="Arial"/>
          <w:sz w:val="22"/>
        </w:rPr>
        <w:t xml:space="preserve"> The selection criteria will include paper content, originality, significance and quality of presentation.</w:t>
      </w:r>
    </w:p>
    <w:p w14:paraId="1F889812" w14:textId="77777777" w:rsidR="006D109E" w:rsidRPr="0007314A" w:rsidRDefault="006D109E" w:rsidP="006D109E">
      <w:pPr>
        <w:spacing w:before="60"/>
        <w:jc w:val="both"/>
        <w:rPr>
          <w:rFonts w:ascii="Arial" w:hAnsi="Arial"/>
          <w:sz w:val="22"/>
        </w:rPr>
      </w:pPr>
      <w:r w:rsidRPr="0007314A">
        <w:rPr>
          <w:rFonts w:ascii="Arial" w:hAnsi="Arial"/>
          <w:b/>
          <w:sz w:val="22"/>
        </w:rPr>
        <w:t>Award Presentation:</w:t>
      </w:r>
      <w:r w:rsidRPr="0007314A">
        <w:rPr>
          <w:rFonts w:ascii="Arial" w:hAnsi="Arial"/>
          <w:sz w:val="22"/>
        </w:rPr>
        <w:t xml:space="preserve"> </w:t>
      </w:r>
      <w:r w:rsidRPr="0007314A">
        <w:rPr>
          <w:rFonts w:ascii="Arial" w:hAnsi="Arial"/>
          <w:color w:val="000000"/>
          <w:sz w:val="22"/>
        </w:rPr>
        <w:t>The award shall be presented at an awards ceremony during IGARSS. The checks will be mailed after clarifying the tax items.</w:t>
      </w:r>
    </w:p>
    <w:p w14:paraId="563EBD69" w14:textId="77777777" w:rsidR="006D109E" w:rsidRPr="00F91918" w:rsidRDefault="006D109E" w:rsidP="006D109E">
      <w:pPr>
        <w:spacing w:before="60"/>
        <w:jc w:val="both"/>
        <w:rPr>
          <w:rFonts w:ascii="Arial" w:hAnsi="Arial"/>
          <w:color w:val="000000"/>
          <w:sz w:val="22"/>
        </w:rPr>
      </w:pPr>
      <w:r w:rsidRPr="0007314A">
        <w:rPr>
          <w:rFonts w:ascii="Arial" w:hAnsi="Arial"/>
          <w:b/>
          <w:sz w:val="22"/>
        </w:rPr>
        <w:t>Publicity:</w:t>
      </w:r>
      <w:r w:rsidRPr="00F91918">
        <w:rPr>
          <w:rFonts w:ascii="Arial" w:hAnsi="Arial"/>
          <w:color w:val="000000"/>
          <w:sz w:val="22"/>
        </w:rPr>
        <w:t xml:space="preserve"> A feature publication will be published in the IEEE TRANSACTIONS ON GEOSCIENCE AND REMOTE SENSING and/or in the </w:t>
      </w:r>
      <w:r w:rsidR="00EB0F65">
        <w:rPr>
          <w:rFonts w:ascii="Arial" w:hAnsi="Arial"/>
          <w:color w:val="000000"/>
          <w:sz w:val="22"/>
        </w:rPr>
        <w:t>GRS Magazine</w:t>
      </w:r>
      <w:r w:rsidRPr="00F91918">
        <w:rPr>
          <w:rFonts w:ascii="Arial" w:hAnsi="Arial"/>
          <w:color w:val="000000"/>
          <w:sz w:val="22"/>
        </w:rPr>
        <w:t>.</w:t>
      </w:r>
    </w:p>
    <w:p w14:paraId="3FF53AF0" w14:textId="77777777" w:rsidR="006D109E" w:rsidRPr="0007314A" w:rsidRDefault="006D109E" w:rsidP="006D109E">
      <w:pPr>
        <w:spacing w:before="60"/>
        <w:jc w:val="both"/>
        <w:rPr>
          <w:rFonts w:ascii="Arial" w:hAnsi="Arial"/>
          <w:sz w:val="22"/>
        </w:rPr>
      </w:pPr>
    </w:p>
    <w:sectPr w:rsidR="006D109E" w:rsidRPr="0007314A" w:rsidSect="006D109E">
      <w:headerReference w:type="even" r:id="rId7"/>
      <w:headerReference w:type="default" r:id="rId8"/>
      <w:pgSz w:w="11899" w:h="16838"/>
      <w:pgMar w:top="1440" w:right="85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5CDC2" w14:textId="77777777" w:rsidR="001B6196" w:rsidRDefault="001B6196">
      <w:r>
        <w:separator/>
      </w:r>
    </w:p>
  </w:endnote>
  <w:endnote w:type="continuationSeparator" w:id="0">
    <w:p w14:paraId="3B9D522F" w14:textId="77777777" w:rsidR="001B6196" w:rsidRDefault="001B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Bookman">
    <w:altName w:val="Bookman Old Styl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235AB" w14:textId="77777777" w:rsidR="001B6196" w:rsidRDefault="001B6196">
      <w:r>
        <w:separator/>
      </w:r>
    </w:p>
  </w:footnote>
  <w:footnote w:type="continuationSeparator" w:id="0">
    <w:p w14:paraId="63D5C288" w14:textId="77777777" w:rsidR="001B6196" w:rsidRDefault="001B6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A940E" w14:textId="77777777" w:rsidR="006D109E" w:rsidRDefault="006D109E" w:rsidP="006D109E">
    <w:pPr>
      <w:pStyle w:val="Header"/>
      <w:framePr w:wrap="around" w:vAnchor="text" w:hAnchor="margin" w:xAlign="right" w:y="1"/>
      <w:rPr>
        <w:rStyle w:val="PageNumber"/>
      </w:rPr>
    </w:pPr>
    <w:r>
      <w:rPr>
        <w:rStyle w:val="PageNumber"/>
      </w:rPr>
      <w:fldChar w:fldCharType="begin"/>
    </w:r>
    <w:r w:rsidR="00A10FFA">
      <w:rPr>
        <w:rStyle w:val="PageNumber"/>
      </w:rPr>
      <w:instrText>PAGE</w:instrText>
    </w:r>
    <w:r>
      <w:rPr>
        <w:rStyle w:val="PageNumber"/>
      </w:rPr>
      <w:instrText xml:space="preserve">  </w:instrText>
    </w:r>
    <w:r>
      <w:rPr>
        <w:rStyle w:val="PageNumber"/>
      </w:rPr>
      <w:fldChar w:fldCharType="end"/>
    </w:r>
  </w:p>
  <w:p w14:paraId="27CE8DDE" w14:textId="77777777" w:rsidR="006D109E" w:rsidRDefault="006D109E" w:rsidP="006D109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779DF" w14:textId="77777777" w:rsidR="006D109E" w:rsidRDefault="006D109E" w:rsidP="006D109E">
    <w:pPr>
      <w:pStyle w:val="Header"/>
      <w:framePr w:wrap="around" w:vAnchor="text" w:hAnchor="margin" w:xAlign="right" w:y="1"/>
      <w:rPr>
        <w:rStyle w:val="PageNumber"/>
      </w:rPr>
    </w:pPr>
    <w:r>
      <w:rPr>
        <w:rStyle w:val="PageNumber"/>
      </w:rPr>
      <w:fldChar w:fldCharType="begin"/>
    </w:r>
    <w:r w:rsidR="00A10FFA">
      <w:rPr>
        <w:rStyle w:val="PageNumber"/>
      </w:rPr>
      <w:instrText>PAGE</w:instrText>
    </w:r>
    <w:r>
      <w:rPr>
        <w:rStyle w:val="PageNumber"/>
      </w:rPr>
      <w:instrText xml:space="preserve">  </w:instrText>
    </w:r>
    <w:r>
      <w:rPr>
        <w:rStyle w:val="PageNumber"/>
      </w:rPr>
      <w:fldChar w:fldCharType="separate"/>
    </w:r>
    <w:r w:rsidR="00B3675D">
      <w:rPr>
        <w:rStyle w:val="PageNumber"/>
        <w:noProof/>
      </w:rPr>
      <w:t>1</w:t>
    </w:r>
    <w:r>
      <w:rPr>
        <w:rStyle w:val="PageNumber"/>
      </w:rPr>
      <w:fldChar w:fldCharType="end"/>
    </w:r>
  </w:p>
  <w:p w14:paraId="6E1B471C" w14:textId="77777777" w:rsidR="006D109E" w:rsidRPr="0007314A" w:rsidRDefault="006D109E" w:rsidP="006D109E">
    <w:pPr>
      <w:ind w:right="360"/>
      <w:rPr>
        <w:rFonts w:ascii="Times New Roman" w:hAnsi="Times New Roman"/>
        <w:sz w:val="20"/>
      </w:rPr>
    </w:pPr>
    <w:r w:rsidRPr="0007314A">
      <w:rPr>
        <w:rFonts w:ascii="Times New Roman" w:hAnsi="Times New Roman"/>
        <w:sz w:val="20"/>
      </w:rPr>
      <w:t>File: TakagiD_GRSS</w:t>
    </w:r>
  </w:p>
  <w:p w14:paraId="2783FAFA" w14:textId="3982E8BE" w:rsidR="006D109E" w:rsidRPr="0007314A" w:rsidRDefault="006D109E" w:rsidP="006D109E">
    <w:pPr>
      <w:tabs>
        <w:tab w:val="right" w:pos="9540"/>
      </w:tabs>
      <w:rPr>
        <w:rFonts w:ascii="Times New Roman" w:hAnsi="Times New Roman"/>
        <w:sz w:val="20"/>
      </w:rPr>
    </w:pPr>
    <w:r w:rsidRPr="0007314A">
      <w:rPr>
        <w:rFonts w:ascii="Times New Roman" w:hAnsi="Times New Roman"/>
        <w:sz w:val="20"/>
      </w:rPr>
      <w:t>October 8, 2006; modified March 2010; modified Nov. 2010</w:t>
    </w:r>
    <w:r w:rsidR="009C4E25">
      <w:rPr>
        <w:rFonts w:ascii="Times New Roman" w:hAnsi="Times New Roman"/>
        <w:sz w:val="20"/>
      </w:rPr>
      <w:t>; update 2013 N0v.</w:t>
    </w:r>
    <w:r w:rsidRPr="000C7D86">
      <w:rPr>
        <w:rFonts w:ascii="Arial" w:hAnsi="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E07FA3"/>
    <w:multiLevelType w:val="hybridMultilevel"/>
    <w:tmpl w:val="7B2EFB4A"/>
    <w:lvl w:ilvl="0" w:tplc="C1885EF8">
      <w:start w:val="1"/>
      <w:numFmt w:val="decimal"/>
      <w:pStyle w:val="Toc"/>
      <w:lvlText w:val="%1)"/>
      <w:lvlJc w:val="left"/>
      <w:pPr>
        <w:tabs>
          <w:tab w:val="num" w:pos="840"/>
        </w:tabs>
        <w:ind w:left="840" w:hanging="360"/>
      </w:pPr>
      <w:rPr>
        <w:rFonts w:hint="default"/>
      </w:rPr>
    </w:lvl>
    <w:lvl w:ilvl="1" w:tplc="00030407" w:tentative="1">
      <w:start w:val="1"/>
      <w:numFmt w:val="lowerLetter"/>
      <w:lvlText w:val="%2."/>
      <w:lvlJc w:val="left"/>
      <w:pPr>
        <w:tabs>
          <w:tab w:val="num" w:pos="1560"/>
        </w:tabs>
        <w:ind w:left="1560" w:hanging="360"/>
      </w:pPr>
    </w:lvl>
    <w:lvl w:ilvl="2" w:tplc="00050407" w:tentative="1">
      <w:start w:val="1"/>
      <w:numFmt w:val="lowerRoman"/>
      <w:lvlText w:val="%3."/>
      <w:lvlJc w:val="right"/>
      <w:pPr>
        <w:tabs>
          <w:tab w:val="num" w:pos="2280"/>
        </w:tabs>
        <w:ind w:left="2280" w:hanging="180"/>
      </w:pPr>
    </w:lvl>
    <w:lvl w:ilvl="3" w:tplc="00010407" w:tentative="1">
      <w:start w:val="1"/>
      <w:numFmt w:val="decimal"/>
      <w:lvlText w:val="%4."/>
      <w:lvlJc w:val="left"/>
      <w:pPr>
        <w:tabs>
          <w:tab w:val="num" w:pos="3000"/>
        </w:tabs>
        <w:ind w:left="3000" w:hanging="360"/>
      </w:pPr>
    </w:lvl>
    <w:lvl w:ilvl="4" w:tplc="00030407" w:tentative="1">
      <w:start w:val="1"/>
      <w:numFmt w:val="lowerLetter"/>
      <w:lvlText w:val="%5."/>
      <w:lvlJc w:val="left"/>
      <w:pPr>
        <w:tabs>
          <w:tab w:val="num" w:pos="3720"/>
        </w:tabs>
        <w:ind w:left="3720" w:hanging="360"/>
      </w:pPr>
    </w:lvl>
    <w:lvl w:ilvl="5" w:tplc="00050407" w:tentative="1">
      <w:start w:val="1"/>
      <w:numFmt w:val="lowerRoman"/>
      <w:lvlText w:val="%6."/>
      <w:lvlJc w:val="right"/>
      <w:pPr>
        <w:tabs>
          <w:tab w:val="num" w:pos="4440"/>
        </w:tabs>
        <w:ind w:left="4440" w:hanging="180"/>
      </w:pPr>
    </w:lvl>
    <w:lvl w:ilvl="6" w:tplc="00010407" w:tentative="1">
      <w:start w:val="1"/>
      <w:numFmt w:val="decimal"/>
      <w:lvlText w:val="%7."/>
      <w:lvlJc w:val="left"/>
      <w:pPr>
        <w:tabs>
          <w:tab w:val="num" w:pos="5160"/>
        </w:tabs>
        <w:ind w:left="5160" w:hanging="360"/>
      </w:pPr>
    </w:lvl>
    <w:lvl w:ilvl="7" w:tplc="00030407" w:tentative="1">
      <w:start w:val="1"/>
      <w:numFmt w:val="lowerLetter"/>
      <w:lvlText w:val="%8."/>
      <w:lvlJc w:val="left"/>
      <w:pPr>
        <w:tabs>
          <w:tab w:val="num" w:pos="5880"/>
        </w:tabs>
        <w:ind w:left="5880" w:hanging="360"/>
      </w:pPr>
    </w:lvl>
    <w:lvl w:ilvl="8" w:tplc="00050407" w:tentative="1">
      <w:start w:val="1"/>
      <w:numFmt w:val="lowerRoman"/>
      <w:lvlText w:val="%9."/>
      <w:lvlJc w:val="right"/>
      <w:pPr>
        <w:tabs>
          <w:tab w:val="num" w:pos="6600"/>
        </w:tabs>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B1"/>
    <w:rsid w:val="00005643"/>
    <w:rsid w:val="0009638C"/>
    <w:rsid w:val="000A06F6"/>
    <w:rsid w:val="001B6196"/>
    <w:rsid w:val="004F5879"/>
    <w:rsid w:val="006D109E"/>
    <w:rsid w:val="006D73B1"/>
    <w:rsid w:val="0097768E"/>
    <w:rsid w:val="009C4E25"/>
    <w:rsid w:val="00A10FFA"/>
    <w:rsid w:val="00B3675D"/>
    <w:rsid w:val="00EB0F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392E8C"/>
  <w14:defaultImageDpi w14:val="300"/>
  <w15:docId w15:val="{6E66968B-77AE-4258-A0C9-2E6C9E03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mbol" w:hAnsi="Symbo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0BC8"/>
    <w:rPr>
      <w:rFonts w:ascii="Tahoma" w:hAnsi="Tahoma" w:cs="Tahoma"/>
      <w:sz w:val="16"/>
      <w:szCs w:val="16"/>
    </w:rPr>
  </w:style>
  <w:style w:type="paragraph" w:styleId="Header">
    <w:name w:val="header"/>
    <w:basedOn w:val="Normal"/>
    <w:rsid w:val="008A3642"/>
    <w:pPr>
      <w:tabs>
        <w:tab w:val="center" w:pos="4320"/>
        <w:tab w:val="right" w:pos="8640"/>
      </w:tabs>
    </w:pPr>
  </w:style>
  <w:style w:type="paragraph" w:styleId="Footer">
    <w:name w:val="footer"/>
    <w:basedOn w:val="Normal"/>
    <w:rsid w:val="008A3642"/>
    <w:pPr>
      <w:tabs>
        <w:tab w:val="center" w:pos="4320"/>
        <w:tab w:val="right" w:pos="8640"/>
      </w:tabs>
    </w:pPr>
  </w:style>
  <w:style w:type="paragraph" w:styleId="Date">
    <w:name w:val="Date"/>
    <w:basedOn w:val="Normal"/>
    <w:next w:val="Normal"/>
    <w:rsid w:val="00A251C9"/>
  </w:style>
  <w:style w:type="paragraph" w:customStyle="1" w:styleId="Awards">
    <w:name w:val="Awards"/>
    <w:basedOn w:val="Normal"/>
    <w:rsid w:val="0007314A"/>
    <w:pPr>
      <w:jc w:val="both"/>
    </w:pPr>
    <w:rPr>
      <w:rFonts w:ascii="Bookman" w:hAnsi="Bookman"/>
      <w:szCs w:val="20"/>
      <w:lang w:val="de-DE" w:eastAsia="de-DE"/>
    </w:rPr>
  </w:style>
  <w:style w:type="paragraph" w:customStyle="1" w:styleId="Toc">
    <w:name w:val="Toc"/>
    <w:basedOn w:val="Normal"/>
    <w:rsid w:val="0007314A"/>
    <w:pPr>
      <w:numPr>
        <w:numId w:val="1"/>
      </w:numPr>
      <w:jc w:val="both"/>
    </w:pPr>
    <w:rPr>
      <w:rFonts w:ascii="Arial" w:hAnsi="Arial"/>
      <w:szCs w:val="20"/>
      <w:lang w:eastAsia="de-DE"/>
    </w:rPr>
  </w:style>
  <w:style w:type="character" w:styleId="PageNumber">
    <w:name w:val="page number"/>
    <w:basedOn w:val="DefaultParagraphFont"/>
    <w:rsid w:val="00073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2780</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File: SobolA/MTT</vt:lpstr>
      <vt:lpstr>File: SobolA/MTT</vt:lpstr>
    </vt:vector>
  </TitlesOfParts>
  <Company>Lockheed Martin</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SobolA/MTT</dc:title>
  <dc:subject/>
  <dc:creator>ktomiyas</dc:creator>
  <cp:keywords/>
  <cp:lastModifiedBy>Steven Reising</cp:lastModifiedBy>
  <cp:revision>6</cp:revision>
  <cp:lastPrinted>2006-09-30T01:11:00Z</cp:lastPrinted>
  <dcterms:created xsi:type="dcterms:W3CDTF">2013-11-10T16:59:00Z</dcterms:created>
  <dcterms:modified xsi:type="dcterms:W3CDTF">2013-11-18T18:17:00Z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_AdHocReviewCycleID">
    <vt:i4>-1501170968</vt:i4>
  </property>
  <property fmtid="{D5CDD505-2E9C-101B-9397-08002B2CF9AE}" pid="8" name="_EmailSubject">
    <vt:lpwstr>Criteria for the Harold Sobol Travel Grant</vt:lpwstr>
  </property>
  <property fmtid="{D5CDD505-2E9C-101B-9397-08002B2CF9AE}" pid="9" name="_AuthorEmail">
    <vt:lpwstr>kiyo.tomiyasu@lmco.com</vt:lpwstr>
  </property>
  <property fmtid="{D5CDD505-2E9C-101B-9397-08002B2CF9AE}" pid="10" name="_AuthorEmailDisplayName">
    <vt:lpwstr>Tomiyasu, Kiyo</vt:lpwstr>
  </property>
  <property fmtid="{D5CDD505-2E9C-101B-9397-08002B2CF9AE}" pid="11" name="_PreviousAdHocReviewCycleID">
    <vt:i4>-471546138</vt:i4>
  </property>
  <property fmtid="{D5CDD505-2E9C-101B-9397-08002B2CF9AE}" pid="12" name="_ReviewingToolsShownOnce">
    <vt:lpwstr/>
  </property>
</Properties>
</file>