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31D3" w14:textId="0747E312" w:rsidR="00AB1839" w:rsidRPr="00E26635" w:rsidRDefault="00F7508F">
      <w:pPr>
        <w:pStyle w:val="Heading1"/>
        <w:rPr>
          <w:rFonts w:cs="Arial"/>
          <w:color w:val="000000" w:themeColor="text1"/>
          <w:sz w:val="36"/>
          <w:szCs w:val="36"/>
          <w:u w:val="none"/>
          <w:lang w:val="en-US"/>
        </w:rPr>
      </w:pPr>
      <w:r w:rsidRPr="00E26635">
        <w:rPr>
          <w:rFonts w:cs="Arial"/>
          <w:color w:val="000000" w:themeColor="text1"/>
          <w:sz w:val="36"/>
          <w:szCs w:val="36"/>
          <w:u w:val="none"/>
          <w:lang w:val="en-US"/>
        </w:rPr>
        <w:t xml:space="preserve">IEEE </w:t>
      </w:r>
      <w:r w:rsidR="00F0305B" w:rsidRPr="00E26635">
        <w:rPr>
          <w:rFonts w:cs="Arial"/>
          <w:color w:val="000000" w:themeColor="text1"/>
          <w:sz w:val="36"/>
          <w:szCs w:val="36"/>
          <w:u w:val="none"/>
          <w:lang w:val="en-US"/>
        </w:rPr>
        <w:t>GRS</w:t>
      </w:r>
      <w:r w:rsidR="00AB1839" w:rsidRPr="00E26635">
        <w:rPr>
          <w:rFonts w:cs="Arial"/>
          <w:color w:val="000000" w:themeColor="text1"/>
          <w:sz w:val="36"/>
          <w:szCs w:val="36"/>
          <w:u w:val="none"/>
          <w:lang w:val="en-US"/>
        </w:rPr>
        <w:t xml:space="preserve">S </w:t>
      </w:r>
      <w:r w:rsidR="00FD5A17" w:rsidRPr="00E26635">
        <w:rPr>
          <w:rFonts w:cs="Arial"/>
          <w:color w:val="000000" w:themeColor="text1"/>
          <w:sz w:val="36"/>
          <w:szCs w:val="36"/>
          <w:u w:val="none"/>
          <w:lang w:val="en-US"/>
        </w:rPr>
        <w:t>David Landgrebe</w:t>
      </w:r>
      <w:r w:rsidR="00F0305B" w:rsidRPr="00E26635">
        <w:rPr>
          <w:rFonts w:cs="Arial"/>
          <w:color w:val="000000" w:themeColor="text1"/>
          <w:sz w:val="36"/>
          <w:szCs w:val="36"/>
          <w:u w:val="none"/>
          <w:lang w:val="en-US"/>
        </w:rPr>
        <w:t xml:space="preserve"> Award</w:t>
      </w:r>
    </w:p>
    <w:p w14:paraId="480B7392" w14:textId="77777777" w:rsidR="00AB1839" w:rsidRPr="00E26635" w:rsidRDefault="00AB1839">
      <w:pPr>
        <w:rPr>
          <w:rFonts w:ascii="Arial" w:hAnsi="Arial"/>
          <w:b/>
          <w:color w:val="000000" w:themeColor="text1"/>
          <w:lang w:val="en-US"/>
        </w:rPr>
      </w:pPr>
    </w:p>
    <w:p w14:paraId="7A5D950E" w14:textId="06232119" w:rsidR="00AB1839" w:rsidRPr="00E26635" w:rsidRDefault="00AB1839" w:rsidP="00AB1839">
      <w:pPr>
        <w:spacing w:after="8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Description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Pr="00E266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BB513F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21565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IEEE </w:t>
      </w:r>
      <w:r w:rsidR="00BB513F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GRSS </w:t>
      </w:r>
      <w:r w:rsidR="00FD5A17" w:rsidRPr="00E2663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David Landgrebe</w:t>
      </w:r>
      <w:r w:rsidR="00BB513F" w:rsidRPr="00E2663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Award</w:t>
      </w:r>
      <w:r w:rsidR="00BB513F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is a GRSS car</w:t>
      </w:r>
      <w:r w:rsidR="002D4468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er award, which is awarded for outstanding contributions in the field of</w:t>
      </w:r>
      <w:r w:rsidR="00FD5A17" w:rsidRPr="00E26635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remote sensing image</w:t>
      </w:r>
      <w:bookmarkStart w:id="0" w:name="_GoBack"/>
      <w:r w:rsidR="00096C9C" w:rsidRPr="00E26635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analysis</w:t>
      </w:r>
      <w:bookmarkEnd w:id="0"/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The </w:t>
      </w:r>
      <w:r w:rsidR="00096C9C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contribution</w:t>
      </w:r>
      <w:r w:rsidR="006810CD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6810CD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shall</w:t>
      </w:r>
      <w:r w:rsidR="00096C9C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related to </w:t>
      </w:r>
      <w:r w:rsidR="006810CD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at least one of the following fields: </w:t>
      </w:r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classification, image analysis, feature extraction, change detection, data fusion, </w:t>
      </w:r>
      <w:r w:rsidR="006810CD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data mining, </w:t>
      </w:r>
      <w:r w:rsidR="00FD5A17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>etc.</w:t>
      </w:r>
      <w:r w:rsidR="00BB513F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32C454D" w14:textId="77777777" w:rsidR="00AB1839" w:rsidRPr="00E26635" w:rsidRDefault="00AB1839" w:rsidP="00AB1839">
      <w:pPr>
        <w:spacing w:after="80"/>
        <w:ind w:right="108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Administration: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IEEE Geoscience and Remote Sensing Society (IEEE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)</w:t>
      </w:r>
    </w:p>
    <w:p w14:paraId="046B87B3" w14:textId="78A8B5D1" w:rsidR="00AB1839" w:rsidRPr="00E26635" w:rsidRDefault="00AB1839" w:rsidP="00AB1839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Eligibility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:</w:t>
      </w:r>
      <w:r w:rsidRPr="00E26635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The </w:t>
      </w:r>
      <w:r w:rsidR="0041548C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Special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Awards Committee may give preference to </w:t>
      </w:r>
      <w:r w:rsidR="00215657" w:rsidRPr="00E26635">
        <w:rPr>
          <w:rFonts w:ascii="Arial" w:hAnsi="Arial"/>
          <w:color w:val="000000" w:themeColor="text1"/>
          <w:sz w:val="22"/>
          <w:szCs w:val="22"/>
          <w:lang w:val="en-US"/>
        </w:rPr>
        <w:t>candidates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who:</w:t>
      </w:r>
    </w:p>
    <w:p w14:paraId="2C4180B8" w14:textId="4A511890" w:rsidR="00AB1839" w:rsidRPr="00E26635" w:rsidRDefault="00215657" w:rsidP="00AB1839">
      <w:pPr>
        <w:pStyle w:val="Toc"/>
        <w:numPr>
          <w:ilvl w:val="0"/>
          <w:numId w:val="7"/>
        </w:numPr>
        <w:tabs>
          <w:tab w:val="clear" w:pos="840"/>
          <w:tab w:val="num" w:pos="426"/>
        </w:tabs>
        <w:ind w:left="426"/>
        <w:rPr>
          <w:color w:val="000000" w:themeColor="text1"/>
          <w:sz w:val="22"/>
          <w:szCs w:val="22"/>
        </w:rPr>
      </w:pPr>
      <w:r w:rsidRPr="00E26635">
        <w:rPr>
          <w:color w:val="000000" w:themeColor="text1"/>
          <w:sz w:val="22"/>
          <w:szCs w:val="22"/>
        </w:rPr>
        <w:t>are</w:t>
      </w:r>
      <w:r w:rsidR="00AB1839" w:rsidRPr="00E26635">
        <w:rPr>
          <w:color w:val="000000" w:themeColor="text1"/>
          <w:sz w:val="22"/>
          <w:szCs w:val="22"/>
        </w:rPr>
        <w:t xml:space="preserve"> an IEEE </w:t>
      </w:r>
      <w:r w:rsidR="00F0305B" w:rsidRPr="00E26635">
        <w:rPr>
          <w:color w:val="000000" w:themeColor="text1"/>
          <w:sz w:val="22"/>
          <w:szCs w:val="22"/>
        </w:rPr>
        <w:t xml:space="preserve">GRSS </w:t>
      </w:r>
      <w:r w:rsidR="00AB1839" w:rsidRPr="00E26635">
        <w:rPr>
          <w:color w:val="000000" w:themeColor="text1"/>
          <w:sz w:val="22"/>
          <w:szCs w:val="22"/>
        </w:rPr>
        <w:t xml:space="preserve">member </w:t>
      </w:r>
    </w:p>
    <w:p w14:paraId="637DFED5" w14:textId="7280123B" w:rsidR="0041548C" w:rsidRPr="00E26635" w:rsidRDefault="0041548C" w:rsidP="0041548C">
      <w:pPr>
        <w:pStyle w:val="Toc"/>
        <w:numPr>
          <w:ilvl w:val="0"/>
          <w:numId w:val="7"/>
        </w:numPr>
        <w:tabs>
          <w:tab w:val="clear" w:pos="840"/>
          <w:tab w:val="num" w:pos="426"/>
        </w:tabs>
        <w:ind w:left="426"/>
        <w:rPr>
          <w:rFonts w:cs="Arial"/>
          <w:color w:val="000000" w:themeColor="text1"/>
          <w:sz w:val="22"/>
          <w:szCs w:val="22"/>
        </w:rPr>
      </w:pPr>
      <w:r w:rsidRPr="00E26635">
        <w:rPr>
          <w:rFonts w:cs="Arial"/>
          <w:color w:val="000000" w:themeColor="text1"/>
          <w:sz w:val="22"/>
          <w:szCs w:val="22"/>
        </w:rPr>
        <w:t xml:space="preserve">are pivotal and have performed significant contributions </w:t>
      </w:r>
      <w:r w:rsidR="00096C9C" w:rsidRPr="00E26635">
        <w:rPr>
          <w:rFonts w:cs="Arial"/>
          <w:color w:val="000000" w:themeColor="text1"/>
          <w:sz w:val="22"/>
          <w:szCs w:val="22"/>
        </w:rPr>
        <w:t xml:space="preserve">to the </w:t>
      </w:r>
      <w:r w:rsidR="00FD5A17" w:rsidRPr="00E26635">
        <w:rPr>
          <w:rFonts w:cs="Arial"/>
          <w:color w:val="000000" w:themeColor="text1"/>
          <w:sz w:val="22"/>
          <w:szCs w:val="22"/>
        </w:rPr>
        <w:t>analysis of remote sensing images</w:t>
      </w:r>
      <w:r w:rsidRPr="00E26635">
        <w:rPr>
          <w:rFonts w:cs="Arial"/>
          <w:color w:val="000000" w:themeColor="text1"/>
          <w:sz w:val="22"/>
          <w:szCs w:val="22"/>
        </w:rPr>
        <w:t xml:space="preserve"> in recent years</w:t>
      </w:r>
    </w:p>
    <w:p w14:paraId="23DB0980" w14:textId="64620784" w:rsidR="00424B8D" w:rsidRPr="00E26635" w:rsidRDefault="00FD5A17" w:rsidP="00146D40">
      <w:pPr>
        <w:pStyle w:val="Toc"/>
        <w:numPr>
          <w:ilvl w:val="0"/>
          <w:numId w:val="7"/>
        </w:numPr>
        <w:tabs>
          <w:tab w:val="clear" w:pos="840"/>
          <w:tab w:val="num" w:pos="426"/>
        </w:tabs>
        <w:spacing w:after="80"/>
        <w:ind w:left="432"/>
        <w:rPr>
          <w:iCs/>
          <w:color w:val="000000" w:themeColor="text1"/>
          <w:sz w:val="22"/>
          <w:szCs w:val="22"/>
        </w:rPr>
      </w:pPr>
      <w:r w:rsidRPr="00E26635">
        <w:rPr>
          <w:rFonts w:cs="Arial"/>
          <w:color w:val="000000" w:themeColor="text1"/>
          <w:sz w:val="22"/>
          <w:szCs w:val="22"/>
        </w:rPr>
        <w:t>published their results in IEEE GRSS journals or conferences</w:t>
      </w:r>
      <w:r w:rsidR="00146D40" w:rsidRPr="00E26635">
        <w:rPr>
          <w:rFonts w:cs="Arial"/>
          <w:color w:val="000000" w:themeColor="text1"/>
          <w:sz w:val="22"/>
          <w:szCs w:val="22"/>
        </w:rPr>
        <w:t xml:space="preserve">. </w:t>
      </w:r>
      <w:r w:rsidR="00424B8D" w:rsidRPr="00E26635">
        <w:rPr>
          <w:iCs/>
          <w:color w:val="000000" w:themeColor="text1"/>
          <w:sz w:val="22"/>
          <w:szCs w:val="22"/>
        </w:rPr>
        <w:t xml:space="preserve">Eligibility and </w:t>
      </w:r>
      <w:r w:rsidR="00C52C58" w:rsidRPr="00E26635">
        <w:rPr>
          <w:iCs/>
          <w:color w:val="000000" w:themeColor="text1"/>
          <w:sz w:val="22"/>
          <w:szCs w:val="22"/>
        </w:rPr>
        <w:t xml:space="preserve">the </w:t>
      </w:r>
      <w:r w:rsidR="00424B8D" w:rsidRPr="00E26635">
        <w:rPr>
          <w:iCs/>
          <w:color w:val="000000" w:themeColor="text1"/>
          <w:sz w:val="22"/>
          <w:szCs w:val="22"/>
        </w:rPr>
        <w:t>selection process shall comply with procedures and regulation established in IEEE and Society governing documents, particularly with IEEE Policy 4.4 on Awards Limitations</w:t>
      </w:r>
      <w:r w:rsidR="00424B8D" w:rsidRPr="00E26635">
        <w:rPr>
          <w:color w:val="000000" w:themeColor="text1"/>
          <w:sz w:val="22"/>
          <w:szCs w:val="22"/>
        </w:rPr>
        <w:t>.</w:t>
      </w:r>
    </w:p>
    <w:p w14:paraId="03AEADB4" w14:textId="54733C49" w:rsidR="00AB1839" w:rsidRPr="00E26635" w:rsidRDefault="00AB1839" w:rsidP="00AB1839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Award Items: </w:t>
      </w:r>
      <w:r w:rsidR="00DF6FBE" w:rsidRPr="00E26635">
        <w:rPr>
          <w:rFonts w:ascii="Arial" w:hAnsi="Arial"/>
          <w:color w:val="000000" w:themeColor="text1"/>
          <w:sz w:val="22"/>
          <w:szCs w:val="22"/>
          <w:lang w:val="en-US"/>
        </w:rPr>
        <w:t>Certificate</w:t>
      </w:r>
    </w:p>
    <w:p w14:paraId="5F4A8D5C" w14:textId="3A68DFE4" w:rsidR="00AB1839" w:rsidRPr="00E26635" w:rsidRDefault="00AB1839" w:rsidP="00AB1839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 xml:space="preserve">Frequency: 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The award shall be presented </w:t>
      </w:r>
      <w:r w:rsidR="00EE6D97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biennially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to one recipient</w:t>
      </w:r>
      <w:r w:rsidR="009757E8" w:rsidRPr="00E26635">
        <w:rPr>
          <w:rFonts w:ascii="Arial" w:hAnsi="Arial"/>
          <w:color w:val="000000" w:themeColor="text1"/>
          <w:sz w:val="22"/>
          <w:szCs w:val="22"/>
          <w:lang w:val="en-US"/>
        </w:rPr>
        <w:t>,</w:t>
      </w:r>
      <w:r w:rsidR="00FD5A17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provided a qualified candidate is nominated. </w:t>
      </w:r>
    </w:p>
    <w:p w14:paraId="4A1DDA63" w14:textId="64C64174" w:rsidR="00AB1839" w:rsidRPr="00E26635" w:rsidRDefault="00AB1839" w:rsidP="00AB1839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 xml:space="preserve">Funds:  </w:t>
      </w:r>
      <w:r w:rsidRPr="00E26635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award is funded </w:t>
      </w:r>
      <w:r w:rsidR="00BB513F" w:rsidRPr="00E26635">
        <w:rPr>
          <w:rFonts w:ascii="Arial" w:hAnsi="Arial"/>
          <w:color w:val="000000" w:themeColor="text1"/>
          <w:sz w:val="22"/>
          <w:szCs w:val="22"/>
          <w:lang w:val="en-US"/>
        </w:rPr>
        <w:t>by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IEEE </w:t>
      </w:r>
      <w:r w:rsidR="00F0305B" w:rsidRPr="00E26635">
        <w:rPr>
          <w:rFonts w:ascii="Arial" w:hAnsi="Arial"/>
          <w:bCs/>
          <w:color w:val="000000" w:themeColor="text1"/>
          <w:sz w:val="22"/>
          <w:szCs w:val="22"/>
          <w:lang w:val="en-US"/>
        </w:rPr>
        <w:t>GRSS</w:t>
      </w:r>
      <w:r w:rsidRPr="00E26635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.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The society's budget includes the amount for this award </w:t>
      </w:r>
      <w:r w:rsidR="00FD5A17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administration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AND the Society budget is net positive with the inclusion of the award.</w:t>
      </w:r>
    </w:p>
    <w:p w14:paraId="764FEB3E" w14:textId="40F4B4CF" w:rsidR="00AB1839" w:rsidRPr="00E26635" w:rsidRDefault="00AB1839" w:rsidP="00AB1839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Nominee Solicitation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: </w:t>
      </w:r>
      <w:r w:rsidRPr="00E26635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</w:t>
      </w:r>
      <w:r w:rsidRPr="00E26635">
        <w:rPr>
          <w:rFonts w:ascii="Arial" w:hAnsi="Arial"/>
          <w:b/>
          <w:bCs/>
          <w:color w:val="0000FF"/>
          <w:sz w:val="22"/>
          <w:szCs w:val="22"/>
          <w:lang w:val="en-US"/>
        </w:rPr>
        <w:t>nom</w:t>
      </w:r>
      <w:r w:rsidRPr="00E26635">
        <w:rPr>
          <w:rFonts w:ascii="Arial" w:hAnsi="Arial"/>
          <w:b/>
          <w:color w:val="0000FF"/>
          <w:sz w:val="22"/>
          <w:szCs w:val="22"/>
          <w:lang w:val="en-US"/>
        </w:rPr>
        <w:t>ination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package </w:t>
      </w:r>
      <w:r w:rsidR="00580362" w:rsidRPr="00E26635">
        <w:rPr>
          <w:rFonts w:ascii="Arial" w:hAnsi="Arial"/>
          <w:color w:val="000000" w:themeColor="text1"/>
          <w:sz w:val="22"/>
          <w:szCs w:val="22"/>
          <w:lang w:val="en-US"/>
        </w:rPr>
        <w:t>must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be submitted by an IEEE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="00160839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member,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consisting of the following:</w:t>
      </w:r>
    </w:p>
    <w:p w14:paraId="73009D36" w14:textId="434B26FA" w:rsidR="00AB1839" w:rsidRPr="00E26635" w:rsidRDefault="00F0305B" w:rsidP="00AB1839">
      <w:pPr>
        <w:numPr>
          <w:ilvl w:val="0"/>
          <w:numId w:val="5"/>
        </w:numPr>
        <w:spacing w:after="80"/>
        <w:ind w:hanging="1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a nomination letter</w:t>
      </w:r>
      <w:r w:rsidR="00BB513F" w:rsidRPr="00E26635">
        <w:rPr>
          <w:rFonts w:ascii="Arial" w:hAnsi="Arial"/>
          <w:color w:val="000000" w:themeColor="text1"/>
          <w:sz w:val="22"/>
          <w:szCs w:val="22"/>
          <w:lang w:val="en-US"/>
        </w:rPr>
        <w:t>, no more than 4 pages in length, clearly identifying, with evidence and references, the contributions and the impact of the candidate’s work</w:t>
      </w:r>
    </w:p>
    <w:p w14:paraId="22A5DC9A" w14:textId="5119AFD3" w:rsidR="0021624F" w:rsidRPr="00E26635" w:rsidRDefault="0021624F" w:rsidP="0021624F">
      <w:pPr>
        <w:numPr>
          <w:ilvl w:val="0"/>
          <w:numId w:val="5"/>
        </w:numPr>
        <w:spacing w:after="80"/>
        <w:ind w:hanging="180"/>
        <w:rPr>
          <w:rFonts w:ascii="Arial" w:hAnsi="Arial"/>
          <w:color w:val="000000" w:themeColor="text1"/>
          <w:sz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lang w:val="en-US"/>
        </w:rPr>
        <w:t>a complete curriculum vitae of the candidate</w:t>
      </w:r>
    </w:p>
    <w:p w14:paraId="727F0E3F" w14:textId="1018EFEF" w:rsidR="00AB1839" w:rsidRPr="00E26635" w:rsidRDefault="00AB1839" w:rsidP="00AB1839">
      <w:pPr>
        <w:numPr>
          <w:ilvl w:val="0"/>
          <w:numId w:val="5"/>
        </w:numPr>
        <w:spacing w:after="80"/>
        <w:ind w:left="714" w:hanging="1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at least 2 recommendation letters from individuals familiar with the candidate’s achievements</w:t>
      </w:r>
    </w:p>
    <w:p w14:paraId="6A78EE5A" w14:textId="6D83A2BB" w:rsidR="00FD5A17" w:rsidRPr="00E26635" w:rsidRDefault="00FD5A17" w:rsidP="00FD5A17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Selection/Basis for Judging:</w:t>
      </w:r>
      <w:r w:rsidRPr="00E26635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quality, significance and impact of the candidate activities; quantity of contributions; duration of significant activity; presence in the GRSS community. The award is presented only once to an individual.</w:t>
      </w:r>
    </w:p>
    <w:p w14:paraId="3C5CF093" w14:textId="27B96FCE" w:rsidR="00FD5A17" w:rsidRPr="00E26635" w:rsidRDefault="00FD5A17" w:rsidP="00FD5A17">
      <w:pPr>
        <w:spacing w:after="80"/>
        <w:ind w:right="-36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Presentation: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award shall be presented at </w:t>
      </w:r>
      <w:r w:rsidR="009757E8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IGARSS or 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GRSS co-sponsored specialty symposium in the field of </w:t>
      </w:r>
      <w:r w:rsidRPr="00E26635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analysis of remote sensing images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such as Whispers, Multitemp or JURSE.</w:t>
      </w:r>
    </w:p>
    <w:p w14:paraId="5486173C" w14:textId="4D1AD67F" w:rsidR="00FD5A17" w:rsidRPr="00E26635" w:rsidRDefault="00FD5A17" w:rsidP="00FD5A17">
      <w:pPr>
        <w:spacing w:after="80"/>
        <w:ind w:right="-36"/>
        <w:rPr>
          <w:color w:val="000000" w:themeColor="text1"/>
          <w:sz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Publicity: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A feature publication will be published in the GRSS Magazine.</w:t>
      </w:r>
    </w:p>
    <w:p w14:paraId="0F526A52" w14:textId="39218CBD" w:rsidR="00AB1839" w:rsidRPr="00E26635" w:rsidRDefault="00AB1839" w:rsidP="00AB1839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Award Committee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: The nominations are evaluated and ranked by the IEEE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Special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Awards Committee. The IEEE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AdCom approves the award </w:t>
      </w:r>
      <w:r w:rsidR="00703F8E" w:rsidRPr="00E26635">
        <w:rPr>
          <w:rFonts w:ascii="Arial" w:hAnsi="Arial"/>
          <w:color w:val="000000" w:themeColor="text1"/>
          <w:sz w:val="22"/>
          <w:szCs w:val="22"/>
          <w:lang w:val="en-US"/>
        </w:rPr>
        <w:t>a</w:t>
      </w:r>
      <w:r w:rsidR="00FC2686" w:rsidRPr="00E26635">
        <w:rPr>
          <w:rFonts w:ascii="Arial" w:hAnsi="Arial"/>
          <w:color w:val="000000" w:themeColor="text1"/>
          <w:sz w:val="22"/>
          <w:szCs w:val="22"/>
          <w:lang w:val="en-US"/>
        </w:rPr>
        <w:t>t</w:t>
      </w:r>
      <w:r w:rsidR="00703F8E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its spring meeting.</w:t>
      </w:r>
    </w:p>
    <w:p w14:paraId="67C580C3" w14:textId="77777777" w:rsidR="00AB1839" w:rsidRPr="00E26635" w:rsidRDefault="00AB1839" w:rsidP="00AB1839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Schedule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: The following schedule shall be the guideline</w:t>
      </w:r>
      <w:r w:rsidR="000F7C50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for the Awards C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mte chair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:</w:t>
      </w:r>
    </w:p>
    <w:p w14:paraId="1EE9A2CA" w14:textId="339A0F39" w:rsidR="00AB1839" w:rsidRPr="00E26635" w:rsidRDefault="00AB1839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Dec. 15.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nominations due for 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the award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in the following year</w:t>
      </w:r>
    </w:p>
    <w:p w14:paraId="0416F315" w14:textId="3846BAA0" w:rsidR="00AB1839" w:rsidRPr="00E26635" w:rsidRDefault="00AB1839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Dec. 20.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all nominations sent to the 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IEEE GRSS Special Awards Cmte</w:t>
      </w:r>
    </w:p>
    <w:p w14:paraId="7F781BFB" w14:textId="77777777" w:rsidR="00AB1839" w:rsidRPr="00E26635" w:rsidRDefault="00AB1839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Feb. 15.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evaluations received from the 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IEEE GRSS Special Awards Cmte</w:t>
      </w:r>
    </w:p>
    <w:p w14:paraId="3DD66498" w14:textId="77777777" w:rsidR="00AB1839" w:rsidRPr="00E26635" w:rsidRDefault="00AB1839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Feb. AdCom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approval of the candidate by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AdCom</w:t>
      </w:r>
    </w:p>
    <w:p w14:paraId="64DDF129" w14:textId="77777777" w:rsidR="00AB1839" w:rsidRPr="00E26635" w:rsidRDefault="00AB1839" w:rsidP="009F2F38">
      <w:pPr>
        <w:pStyle w:val="Toc"/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color w:val="000000" w:themeColor="text1"/>
          <w:sz w:val="22"/>
          <w:szCs w:val="22"/>
        </w:rPr>
      </w:pPr>
      <w:r w:rsidRPr="00E26635">
        <w:rPr>
          <w:color w:val="000000" w:themeColor="text1"/>
          <w:sz w:val="22"/>
          <w:szCs w:val="22"/>
        </w:rPr>
        <w:t>March 1.</w:t>
      </w:r>
      <w:r w:rsidRPr="00E26635">
        <w:rPr>
          <w:color w:val="000000" w:themeColor="text1"/>
          <w:sz w:val="22"/>
          <w:szCs w:val="22"/>
        </w:rPr>
        <w:tab/>
        <w:t>notify recipient, request biographical sketch and photo</w:t>
      </w:r>
    </w:p>
    <w:p w14:paraId="317998D9" w14:textId="19DE7C01" w:rsidR="00AB1839" w:rsidRPr="00E26635" w:rsidRDefault="00FD5A17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March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>order certificate</w:t>
      </w:r>
      <w:r w:rsidR="00DF6FBE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>with citation fo</w:t>
      </w:r>
      <w:r w:rsidR="00096C9C" w:rsidRPr="00E26635">
        <w:rPr>
          <w:rFonts w:ascii="Arial" w:hAnsi="Arial"/>
          <w:color w:val="000000" w:themeColor="text1"/>
          <w:sz w:val="22"/>
          <w:szCs w:val="22"/>
          <w:lang w:val="en-US"/>
        </w:rPr>
        <w:t>r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m, and send signatures of both </w:t>
      </w:r>
      <w:r w:rsidR="00F0305B" w:rsidRPr="00E26635">
        <w:rPr>
          <w:rFonts w:ascii="Arial" w:hAnsi="Arial"/>
          <w:color w:val="000000" w:themeColor="text1"/>
          <w:sz w:val="22"/>
          <w:szCs w:val="22"/>
          <w:lang w:val="en-US"/>
        </w:rPr>
        <w:t>GRSS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President and 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Special 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>Awards Committee Chair to IEEE Headquarters (allow 2 months)</w:t>
      </w:r>
    </w:p>
    <w:p w14:paraId="20E98657" w14:textId="5B323394" w:rsidR="00AB1839" w:rsidRPr="00E26635" w:rsidRDefault="00FD5A17" w:rsidP="009F2F38">
      <w:pPr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Presentation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awards presentation 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at </w:t>
      </w:r>
      <w:r w:rsidR="009757E8"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IGARSS or 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GRSS co-sponsored specialty symposium in the field of </w:t>
      </w:r>
      <w:r w:rsidRPr="00E26635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analysis of remote sensing images</w:t>
      </w:r>
      <w:r w:rsidRPr="00E2663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such as Whispers, Multitemp or JURSE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>(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>Reception</w:t>
      </w:r>
      <w:r w:rsidR="00F905A3" w:rsidRPr="00E26635">
        <w:rPr>
          <w:rFonts w:ascii="Arial" w:hAnsi="Arial"/>
          <w:color w:val="000000" w:themeColor="text1"/>
          <w:sz w:val="22"/>
          <w:szCs w:val="22"/>
          <w:lang w:val="en-US"/>
        </w:rPr>
        <w:t>,</w:t>
      </w:r>
      <w:r w:rsidR="009F2F38"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>Plenary, Banquet ….</w:t>
      </w:r>
      <w:r w:rsidR="00AB1839" w:rsidRPr="00E26635">
        <w:rPr>
          <w:rFonts w:ascii="Arial" w:hAnsi="Arial"/>
          <w:color w:val="000000" w:themeColor="text1"/>
          <w:sz w:val="22"/>
          <w:szCs w:val="22"/>
          <w:lang w:val="en-US"/>
        </w:rPr>
        <w:t>)</w:t>
      </w:r>
      <w:r w:rsidRPr="00E26635">
        <w:rPr>
          <w:rFonts w:ascii="Arial" w:hAnsi="Arial"/>
          <w:color w:val="000000" w:themeColor="text1"/>
          <w:sz w:val="22"/>
          <w:szCs w:val="22"/>
          <w:lang w:val="en-US"/>
        </w:rPr>
        <w:t xml:space="preserve"> April - December</w:t>
      </w:r>
    </w:p>
    <w:p w14:paraId="39D3725A" w14:textId="5AE4E3DD" w:rsidR="00AB1839" w:rsidRPr="00E26635" w:rsidRDefault="00AB1839" w:rsidP="009F2F38">
      <w:pPr>
        <w:pStyle w:val="Toc"/>
        <w:numPr>
          <w:ilvl w:val="0"/>
          <w:numId w:val="6"/>
        </w:numPr>
        <w:tabs>
          <w:tab w:val="clear" w:pos="720"/>
          <w:tab w:val="num" w:pos="284"/>
          <w:tab w:val="left" w:pos="1701"/>
        </w:tabs>
        <w:ind w:left="1701" w:hanging="1701"/>
        <w:rPr>
          <w:color w:val="000000" w:themeColor="text1"/>
          <w:sz w:val="22"/>
          <w:szCs w:val="22"/>
        </w:rPr>
      </w:pPr>
      <w:r w:rsidRPr="00E26635">
        <w:rPr>
          <w:color w:val="000000" w:themeColor="text1"/>
          <w:sz w:val="22"/>
          <w:szCs w:val="22"/>
        </w:rPr>
        <w:t xml:space="preserve">Prepare material for </w:t>
      </w:r>
      <w:r w:rsidR="009F2F38" w:rsidRPr="00E26635">
        <w:rPr>
          <w:color w:val="000000" w:themeColor="text1"/>
          <w:sz w:val="22"/>
          <w:szCs w:val="22"/>
        </w:rPr>
        <w:t>GRSS Magazine</w:t>
      </w:r>
      <w:r w:rsidRPr="00E26635">
        <w:rPr>
          <w:color w:val="000000" w:themeColor="text1"/>
          <w:sz w:val="22"/>
          <w:szCs w:val="22"/>
        </w:rPr>
        <w:t xml:space="preserve"> immediately after </w:t>
      </w:r>
      <w:r w:rsidR="00FD5A17" w:rsidRPr="00E26635">
        <w:rPr>
          <w:color w:val="000000" w:themeColor="text1"/>
          <w:sz w:val="22"/>
          <w:szCs w:val="22"/>
        </w:rPr>
        <w:t>award presentation</w:t>
      </w:r>
    </w:p>
    <w:p w14:paraId="034F56E6" w14:textId="10892EA4" w:rsidR="00FD5A17" w:rsidRPr="00E26635" w:rsidRDefault="00FD5A17" w:rsidP="00DF6FBE">
      <w:pPr>
        <w:pStyle w:val="Toc"/>
        <w:numPr>
          <w:ilvl w:val="0"/>
          <w:numId w:val="0"/>
        </w:numPr>
        <w:tabs>
          <w:tab w:val="left" w:pos="1701"/>
        </w:tabs>
        <w:spacing w:after="80"/>
        <w:rPr>
          <w:color w:val="000000" w:themeColor="text1"/>
          <w:sz w:val="22"/>
          <w:szCs w:val="22"/>
        </w:rPr>
      </w:pPr>
    </w:p>
    <w:sectPr w:rsidR="00FD5A17" w:rsidRPr="00E26635" w:rsidSect="00AB1839">
      <w:headerReference w:type="default" r:id="rId7"/>
      <w:pgSz w:w="12240" w:h="15840"/>
      <w:pgMar w:top="1440" w:right="1134" w:bottom="851" w:left="1418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8698" w14:textId="77777777" w:rsidR="001E5F25" w:rsidRDefault="001E5F25">
      <w:r>
        <w:separator/>
      </w:r>
    </w:p>
  </w:endnote>
  <w:endnote w:type="continuationSeparator" w:id="0">
    <w:p w14:paraId="71143730" w14:textId="77777777" w:rsidR="001E5F25" w:rsidRDefault="001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DDFB" w14:textId="77777777" w:rsidR="001E5F25" w:rsidRDefault="001E5F25">
      <w:r>
        <w:separator/>
      </w:r>
    </w:p>
  </w:footnote>
  <w:footnote w:type="continuationSeparator" w:id="0">
    <w:p w14:paraId="78521258" w14:textId="77777777" w:rsidR="001E5F25" w:rsidRDefault="001E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25C9" w14:textId="77777777" w:rsidR="002D4468" w:rsidRDefault="002D4468">
    <w:pPr>
      <w:pStyle w:val="Header"/>
    </w:pPr>
    <w:r>
      <w:rPr>
        <w:rFonts w:ascii="Times New Roman" w:hAnsi="Times New Roman"/>
        <w:sz w:val="20"/>
        <w:lang w:val="en-US"/>
      </w:rPr>
      <w:t>Nov. 2013</w:t>
    </w:r>
    <w:r>
      <w:rPr>
        <w:rFonts w:ascii="Times" w:hAnsi="Time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92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957"/>
    <w:multiLevelType w:val="hybridMultilevel"/>
    <w:tmpl w:val="8BBC272A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D133D"/>
    <w:multiLevelType w:val="multilevel"/>
    <w:tmpl w:val="A032276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E7B5D6C"/>
    <w:multiLevelType w:val="hybridMultilevel"/>
    <w:tmpl w:val="665E7BBC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07FA3"/>
    <w:multiLevelType w:val="hybridMultilevel"/>
    <w:tmpl w:val="7B2EFB4A"/>
    <w:lvl w:ilvl="0" w:tplc="E22A88A6">
      <w:start w:val="1"/>
      <w:numFmt w:val="decimal"/>
      <w:pStyle w:val="Toc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5EC4F72"/>
    <w:multiLevelType w:val="hybridMultilevel"/>
    <w:tmpl w:val="01C2BFF0"/>
    <w:lvl w:ilvl="0" w:tplc="000F0407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oNotTrackMove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C"/>
    <w:rsid w:val="00046118"/>
    <w:rsid w:val="00096C9C"/>
    <w:rsid w:val="000B4246"/>
    <w:rsid w:val="000F7C50"/>
    <w:rsid w:val="00146D40"/>
    <w:rsid w:val="00160839"/>
    <w:rsid w:val="001C39C6"/>
    <w:rsid w:val="001E5F25"/>
    <w:rsid w:val="00215657"/>
    <w:rsid w:val="0021624F"/>
    <w:rsid w:val="00250512"/>
    <w:rsid w:val="00281BBC"/>
    <w:rsid w:val="002D4468"/>
    <w:rsid w:val="0041548C"/>
    <w:rsid w:val="00424B8D"/>
    <w:rsid w:val="004A0494"/>
    <w:rsid w:val="005158A0"/>
    <w:rsid w:val="00580362"/>
    <w:rsid w:val="005F237C"/>
    <w:rsid w:val="00611946"/>
    <w:rsid w:val="006810CD"/>
    <w:rsid w:val="00703F8E"/>
    <w:rsid w:val="007332AC"/>
    <w:rsid w:val="008F583E"/>
    <w:rsid w:val="009757E8"/>
    <w:rsid w:val="00993C93"/>
    <w:rsid w:val="009F2F38"/>
    <w:rsid w:val="00AB1839"/>
    <w:rsid w:val="00B1337C"/>
    <w:rsid w:val="00B62921"/>
    <w:rsid w:val="00BB513F"/>
    <w:rsid w:val="00BB6AD5"/>
    <w:rsid w:val="00C52C58"/>
    <w:rsid w:val="00D057DA"/>
    <w:rsid w:val="00D72ADA"/>
    <w:rsid w:val="00DD59DB"/>
    <w:rsid w:val="00DF6FBE"/>
    <w:rsid w:val="00E26635"/>
    <w:rsid w:val="00EC2832"/>
    <w:rsid w:val="00EE6D97"/>
    <w:rsid w:val="00F0305B"/>
    <w:rsid w:val="00F16056"/>
    <w:rsid w:val="00F7508F"/>
    <w:rsid w:val="00F905A3"/>
    <w:rsid w:val="00FC2686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B30B3"/>
  <w14:defaultImageDpi w14:val="300"/>
  <w15:docId w15:val="{EC8BC155-8E3C-4F65-BA07-90DAD6E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  <w:rsid w:val="00E061EB"/>
    <w:pPr>
      <w:numPr>
        <w:numId w:val="2"/>
      </w:numPr>
    </w:pPr>
    <w:rPr>
      <w:rFonts w:ascii="Arial" w:hAnsi="Arial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70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8E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8E"/>
    <w:rPr>
      <w:rFonts w:ascii="Bookman" w:hAnsi="Book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GRSS DA Def.</vt:lpstr>
      <vt:lpstr>GRSS DA Def.</vt:lpstr>
    </vt:vector>
  </TitlesOfParts>
  <Company>Universität Karlsruhe (TH)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GRSS DA Def.</dc:title>
  <dc:creator>Wiesbeck</dc:creator>
  <cp:lastModifiedBy>Steven Reising</cp:lastModifiedBy>
  <cp:revision>4</cp:revision>
  <dcterms:created xsi:type="dcterms:W3CDTF">2013-11-15T17:11:00Z</dcterms:created>
  <dcterms:modified xsi:type="dcterms:W3CDTF">2013-11-18T18:11:00Z</dcterms:modified>
</cp:coreProperties>
</file>